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5A5" w:rsidRPr="00CA1F0A" w:rsidRDefault="002E65A5" w:rsidP="00537DEE">
      <w:pPr>
        <w:tabs>
          <w:tab w:val="left" w:pos="3261"/>
        </w:tabs>
        <w:spacing w:after="0"/>
        <w:ind w:left="-851"/>
        <w:jc w:val="center"/>
        <w:rPr>
          <w:rFonts w:cs="Arial"/>
          <w:b/>
          <w:snapToGrid w:val="0"/>
        </w:rPr>
      </w:pPr>
    </w:p>
    <w:p w:rsidR="002E65A5" w:rsidRPr="00CA1F0A" w:rsidRDefault="002E65A5" w:rsidP="00537DEE">
      <w:pPr>
        <w:tabs>
          <w:tab w:val="left" w:pos="3261"/>
        </w:tabs>
        <w:spacing w:after="0"/>
        <w:ind w:left="-851"/>
        <w:jc w:val="center"/>
        <w:rPr>
          <w:rFonts w:cs="Arial"/>
          <w:b/>
          <w:snapToGrid w:val="0"/>
        </w:rPr>
      </w:pPr>
    </w:p>
    <w:p w:rsidR="00B2085C" w:rsidRDefault="00B2085C" w:rsidP="00537DEE">
      <w:pPr>
        <w:tabs>
          <w:tab w:val="left" w:pos="3261"/>
        </w:tabs>
        <w:spacing w:after="0"/>
        <w:ind w:left="-851"/>
        <w:jc w:val="center"/>
        <w:rPr>
          <w:rFonts w:cs="Arial"/>
          <w:b/>
          <w:snapToGrid w:val="0"/>
        </w:rPr>
      </w:pPr>
    </w:p>
    <w:p w:rsidR="00B2085C" w:rsidRDefault="00B2085C" w:rsidP="00537DEE">
      <w:pPr>
        <w:tabs>
          <w:tab w:val="left" w:pos="3261"/>
        </w:tabs>
        <w:spacing w:after="0"/>
        <w:ind w:left="-851"/>
        <w:jc w:val="center"/>
        <w:rPr>
          <w:rFonts w:cs="Arial"/>
          <w:b/>
          <w:snapToGrid w:val="0"/>
        </w:rPr>
      </w:pPr>
    </w:p>
    <w:p w:rsidR="004175F0" w:rsidRPr="00CA1F0A" w:rsidRDefault="00FA2B85" w:rsidP="00537DEE">
      <w:pPr>
        <w:tabs>
          <w:tab w:val="left" w:pos="3261"/>
        </w:tabs>
        <w:spacing w:after="0"/>
        <w:ind w:left="-851"/>
        <w:jc w:val="center"/>
        <w:rPr>
          <w:rFonts w:cs="Arial"/>
          <w:b/>
          <w:snapToGrid w:val="0"/>
        </w:rPr>
      </w:pPr>
      <w:r w:rsidRPr="00CA1F0A">
        <w:rPr>
          <w:rFonts w:cs="Arial"/>
          <w:b/>
          <w:snapToGrid w:val="0"/>
        </w:rPr>
        <w:t xml:space="preserve">EXPUNERE DE MOTIVE </w:t>
      </w:r>
    </w:p>
    <w:p w:rsidR="004175F0" w:rsidRPr="00CA1F0A" w:rsidRDefault="004175F0" w:rsidP="00537DEE">
      <w:pPr>
        <w:tabs>
          <w:tab w:val="left" w:pos="3261"/>
        </w:tabs>
        <w:spacing w:after="0"/>
        <w:ind w:left="-851"/>
        <w:rPr>
          <w:rFonts w:cs="Arial"/>
          <w:b/>
          <w:snapToGrid w:val="0"/>
        </w:rPr>
      </w:pPr>
    </w:p>
    <w:tbl>
      <w:tblPr>
        <w:tblW w:w="10383"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9"/>
        <w:gridCol w:w="992"/>
        <w:gridCol w:w="1059"/>
        <w:gridCol w:w="1067"/>
        <w:gridCol w:w="992"/>
        <w:gridCol w:w="992"/>
        <w:gridCol w:w="992"/>
      </w:tblGrid>
      <w:tr w:rsidR="00EC7E47" w:rsidRPr="00CA1F0A" w:rsidTr="00096E7B">
        <w:trPr>
          <w:cantSplit/>
          <w:trHeight w:val="950"/>
        </w:trPr>
        <w:tc>
          <w:tcPr>
            <w:tcW w:w="10383" w:type="dxa"/>
            <w:gridSpan w:val="7"/>
          </w:tcPr>
          <w:p w:rsidR="004175F0" w:rsidRPr="00CA1F0A" w:rsidRDefault="00270281" w:rsidP="00537DEE">
            <w:pPr>
              <w:tabs>
                <w:tab w:val="left" w:pos="3261"/>
              </w:tabs>
              <w:spacing w:after="0"/>
              <w:ind w:left="69" w:right="-391"/>
              <w:jc w:val="center"/>
              <w:rPr>
                <w:rFonts w:cs="Arial"/>
                <w:b/>
                <w:snapToGrid w:val="0"/>
              </w:rPr>
            </w:pPr>
            <w:r w:rsidRPr="00CA1F0A">
              <w:rPr>
                <w:rFonts w:cs="Arial"/>
                <w:b/>
                <w:snapToGrid w:val="0"/>
              </w:rPr>
              <w:t>Secțiunea</w:t>
            </w:r>
            <w:r w:rsidR="004175F0" w:rsidRPr="00CA1F0A">
              <w:rPr>
                <w:rFonts w:cs="Arial"/>
                <w:b/>
                <w:snapToGrid w:val="0"/>
              </w:rPr>
              <w:t xml:space="preserve"> 1 – Titlul proiectului de act normativ</w:t>
            </w:r>
          </w:p>
          <w:p w:rsidR="002902EE" w:rsidRPr="00CA1F0A" w:rsidRDefault="00FA2B85" w:rsidP="00537DEE">
            <w:pPr>
              <w:tabs>
                <w:tab w:val="left" w:pos="3261"/>
              </w:tabs>
              <w:spacing w:after="0"/>
              <w:ind w:left="0"/>
              <w:jc w:val="center"/>
              <w:rPr>
                <w:b/>
              </w:rPr>
            </w:pPr>
            <w:r w:rsidRPr="00CA1F0A">
              <w:rPr>
                <w:b/>
              </w:rPr>
              <w:t>Lege</w:t>
            </w:r>
            <w:r w:rsidR="00905C64" w:rsidRPr="00CA1F0A">
              <w:rPr>
                <w:b/>
              </w:rPr>
              <w:t xml:space="preserve"> </w:t>
            </w:r>
            <w:r w:rsidR="0081718E" w:rsidRPr="00CA1F0A">
              <w:rPr>
                <w:b/>
              </w:rPr>
              <w:t xml:space="preserve">privind desființarea </w:t>
            </w:r>
            <w:r w:rsidR="003641CA" w:rsidRPr="00CA1F0A">
              <w:rPr>
                <w:b/>
              </w:rPr>
              <w:t>S</w:t>
            </w:r>
            <w:r w:rsidR="0081718E" w:rsidRPr="00CA1F0A">
              <w:rPr>
                <w:b/>
              </w:rPr>
              <w:t xml:space="preserve">ecției pentru </w:t>
            </w:r>
            <w:r w:rsidR="003641CA" w:rsidRPr="00CA1F0A">
              <w:rPr>
                <w:b/>
              </w:rPr>
              <w:t>i</w:t>
            </w:r>
            <w:r w:rsidR="0081718E" w:rsidRPr="00CA1F0A">
              <w:rPr>
                <w:b/>
              </w:rPr>
              <w:t xml:space="preserve">nvestigarea </w:t>
            </w:r>
            <w:r w:rsidR="003641CA" w:rsidRPr="00CA1F0A">
              <w:rPr>
                <w:b/>
              </w:rPr>
              <w:t>i</w:t>
            </w:r>
            <w:r w:rsidR="0081718E" w:rsidRPr="00CA1F0A">
              <w:rPr>
                <w:b/>
              </w:rPr>
              <w:t xml:space="preserve">nfracțiunilor din </w:t>
            </w:r>
            <w:r w:rsidR="003641CA" w:rsidRPr="00CA1F0A">
              <w:rPr>
                <w:b/>
              </w:rPr>
              <w:t>j</w:t>
            </w:r>
            <w:r w:rsidR="0081718E" w:rsidRPr="00CA1F0A">
              <w:rPr>
                <w:b/>
              </w:rPr>
              <w:t>ustiție</w:t>
            </w:r>
          </w:p>
          <w:p w:rsidR="007879AD" w:rsidRPr="00CA1F0A" w:rsidRDefault="007879AD" w:rsidP="00537DEE">
            <w:pPr>
              <w:tabs>
                <w:tab w:val="left" w:pos="3261"/>
              </w:tabs>
              <w:spacing w:after="0"/>
              <w:ind w:left="0"/>
              <w:jc w:val="center"/>
              <w:rPr>
                <w:rFonts w:cs="Arial"/>
                <w:b/>
              </w:rPr>
            </w:pPr>
          </w:p>
        </w:tc>
      </w:tr>
      <w:tr w:rsidR="00EC7E47" w:rsidRPr="00CA1F0A" w:rsidTr="00096E7B">
        <w:trPr>
          <w:cantSplit/>
          <w:trHeight w:val="468"/>
        </w:trPr>
        <w:tc>
          <w:tcPr>
            <w:tcW w:w="10383" w:type="dxa"/>
            <w:gridSpan w:val="7"/>
          </w:tcPr>
          <w:p w:rsidR="004175F0" w:rsidRPr="00CA1F0A" w:rsidRDefault="00270281" w:rsidP="00537DEE">
            <w:pPr>
              <w:tabs>
                <w:tab w:val="left" w:pos="3261"/>
              </w:tabs>
              <w:spacing w:after="0"/>
              <w:ind w:left="69" w:right="-391"/>
              <w:rPr>
                <w:rFonts w:cs="Arial"/>
                <w:b/>
                <w:snapToGrid w:val="0"/>
              </w:rPr>
            </w:pPr>
            <w:r w:rsidRPr="00CA1F0A">
              <w:rPr>
                <w:rFonts w:cs="Arial"/>
                <w:b/>
                <w:snapToGrid w:val="0"/>
              </w:rPr>
              <w:t>Secțiunea</w:t>
            </w:r>
            <w:r w:rsidR="004175F0" w:rsidRPr="00CA1F0A">
              <w:rPr>
                <w:rFonts w:cs="Arial"/>
                <w:b/>
                <w:snapToGrid w:val="0"/>
              </w:rPr>
              <w:t xml:space="preserve"> a 2-a – Motivul emiterii actului normativ</w:t>
            </w:r>
          </w:p>
        </w:tc>
      </w:tr>
      <w:tr w:rsidR="00EC7E47" w:rsidRPr="00CA1F0A" w:rsidTr="00096E7B">
        <w:tc>
          <w:tcPr>
            <w:tcW w:w="4289" w:type="dxa"/>
            <w:tcBorders>
              <w:right w:val="single" w:sz="4" w:space="0" w:color="auto"/>
            </w:tcBorders>
          </w:tcPr>
          <w:p w:rsidR="00614922" w:rsidRPr="00CA1F0A" w:rsidRDefault="004175F0" w:rsidP="00537DEE">
            <w:pPr>
              <w:tabs>
                <w:tab w:val="left" w:pos="3261"/>
              </w:tabs>
              <w:spacing w:after="0"/>
              <w:ind w:left="69" w:right="-391"/>
              <w:rPr>
                <w:rFonts w:cs="Arial"/>
                <w:snapToGrid w:val="0"/>
              </w:rPr>
            </w:pPr>
            <w:r w:rsidRPr="00CA1F0A">
              <w:rPr>
                <w:rFonts w:cs="Arial"/>
                <w:snapToGrid w:val="0"/>
              </w:rPr>
              <w:t xml:space="preserve">1. Descrierea </w:t>
            </w:r>
            <w:proofErr w:type="spellStart"/>
            <w:r w:rsidRPr="00CA1F0A">
              <w:rPr>
                <w:rFonts w:cs="Arial"/>
                <w:snapToGrid w:val="0"/>
              </w:rPr>
              <w:t>situaţiei</w:t>
            </w:r>
            <w:proofErr w:type="spellEnd"/>
            <w:r w:rsidRPr="00CA1F0A">
              <w:rPr>
                <w:rFonts w:cs="Arial"/>
                <w:snapToGrid w:val="0"/>
              </w:rPr>
              <w:t xml:space="preserve"> actuale </w:t>
            </w:r>
          </w:p>
          <w:p w:rsidR="00614922" w:rsidRPr="00CA1F0A" w:rsidRDefault="00614922" w:rsidP="00537DEE">
            <w:pPr>
              <w:tabs>
                <w:tab w:val="left" w:pos="3261"/>
              </w:tabs>
              <w:spacing w:after="0"/>
              <w:ind w:left="69" w:right="-391"/>
              <w:rPr>
                <w:rFonts w:cs="Arial"/>
              </w:rPr>
            </w:pPr>
          </w:p>
          <w:p w:rsidR="00614922" w:rsidRPr="00CA1F0A" w:rsidRDefault="00614922" w:rsidP="00537DEE">
            <w:pPr>
              <w:tabs>
                <w:tab w:val="left" w:pos="3261"/>
              </w:tabs>
              <w:spacing w:after="0"/>
              <w:ind w:left="69" w:right="-391"/>
              <w:rPr>
                <w:rFonts w:cs="Arial"/>
              </w:rPr>
            </w:pPr>
          </w:p>
          <w:p w:rsidR="00614922" w:rsidRPr="00CA1F0A" w:rsidRDefault="00614922" w:rsidP="00537DEE">
            <w:pPr>
              <w:tabs>
                <w:tab w:val="left" w:pos="3261"/>
              </w:tabs>
              <w:spacing w:after="0"/>
              <w:ind w:left="69" w:right="-391"/>
              <w:rPr>
                <w:rFonts w:cs="Arial"/>
              </w:rPr>
            </w:pPr>
          </w:p>
          <w:p w:rsidR="00614922" w:rsidRPr="00CA1F0A" w:rsidRDefault="00614922" w:rsidP="00537DEE">
            <w:pPr>
              <w:tabs>
                <w:tab w:val="left" w:pos="3261"/>
              </w:tabs>
              <w:spacing w:after="0"/>
              <w:ind w:left="69" w:right="-391"/>
              <w:rPr>
                <w:rFonts w:cs="Arial"/>
              </w:rPr>
            </w:pPr>
          </w:p>
          <w:p w:rsidR="00614922" w:rsidRPr="00CA1F0A" w:rsidRDefault="00614922" w:rsidP="00537DEE">
            <w:pPr>
              <w:tabs>
                <w:tab w:val="left" w:pos="3261"/>
              </w:tabs>
              <w:spacing w:after="0"/>
              <w:ind w:left="69" w:right="-391"/>
              <w:rPr>
                <w:rFonts w:cs="Arial"/>
              </w:rPr>
            </w:pPr>
          </w:p>
          <w:p w:rsidR="00614922" w:rsidRPr="00CA1F0A" w:rsidRDefault="00614922" w:rsidP="00537DEE">
            <w:pPr>
              <w:tabs>
                <w:tab w:val="left" w:pos="3261"/>
              </w:tabs>
              <w:spacing w:after="0"/>
              <w:ind w:left="69" w:right="-391"/>
              <w:rPr>
                <w:rFonts w:cs="Arial"/>
              </w:rPr>
            </w:pPr>
          </w:p>
          <w:p w:rsidR="00614922" w:rsidRPr="00CA1F0A" w:rsidRDefault="00614922" w:rsidP="00537DEE">
            <w:pPr>
              <w:tabs>
                <w:tab w:val="left" w:pos="3261"/>
              </w:tabs>
              <w:spacing w:after="0"/>
              <w:ind w:left="69" w:right="-391"/>
              <w:rPr>
                <w:rFonts w:cs="Arial"/>
              </w:rPr>
            </w:pPr>
          </w:p>
          <w:p w:rsidR="00614922" w:rsidRPr="00CA1F0A" w:rsidRDefault="00614922" w:rsidP="00537DEE">
            <w:pPr>
              <w:tabs>
                <w:tab w:val="left" w:pos="3261"/>
              </w:tabs>
              <w:spacing w:after="0"/>
              <w:ind w:left="69" w:right="-391"/>
              <w:rPr>
                <w:rFonts w:cs="Arial"/>
              </w:rPr>
            </w:pPr>
          </w:p>
          <w:p w:rsidR="00614922" w:rsidRPr="00CA1F0A" w:rsidRDefault="00614922" w:rsidP="00537DEE">
            <w:pPr>
              <w:tabs>
                <w:tab w:val="left" w:pos="3261"/>
              </w:tabs>
              <w:spacing w:after="0"/>
              <w:ind w:left="69" w:right="-391"/>
              <w:rPr>
                <w:rFonts w:cs="Arial"/>
              </w:rPr>
            </w:pPr>
          </w:p>
          <w:p w:rsidR="00614922" w:rsidRPr="00CA1F0A" w:rsidRDefault="00614922" w:rsidP="00537DEE">
            <w:pPr>
              <w:tabs>
                <w:tab w:val="left" w:pos="3261"/>
              </w:tabs>
              <w:spacing w:after="0"/>
              <w:ind w:left="69" w:right="-391"/>
              <w:rPr>
                <w:rFonts w:cs="Arial"/>
              </w:rPr>
            </w:pPr>
          </w:p>
          <w:p w:rsidR="004175F0" w:rsidRPr="00CA1F0A" w:rsidRDefault="004175F0" w:rsidP="00537DEE">
            <w:pPr>
              <w:tabs>
                <w:tab w:val="left" w:pos="3261"/>
              </w:tabs>
              <w:spacing w:after="0"/>
              <w:ind w:left="69" w:right="-391"/>
              <w:rPr>
                <w:rFonts w:cs="Arial"/>
              </w:rPr>
            </w:pPr>
          </w:p>
        </w:tc>
        <w:tc>
          <w:tcPr>
            <w:tcW w:w="6094" w:type="dxa"/>
            <w:gridSpan w:val="6"/>
            <w:tcBorders>
              <w:top w:val="single" w:sz="4" w:space="0" w:color="auto"/>
              <w:left w:val="single" w:sz="4" w:space="0" w:color="auto"/>
              <w:bottom w:val="single" w:sz="4" w:space="0" w:color="auto"/>
              <w:right w:val="single" w:sz="4" w:space="0" w:color="auto"/>
            </w:tcBorders>
          </w:tcPr>
          <w:p w:rsidR="0081718E" w:rsidRPr="00CA1F0A" w:rsidRDefault="00C77732" w:rsidP="00537DEE">
            <w:pPr>
              <w:tabs>
                <w:tab w:val="left" w:pos="319"/>
              </w:tabs>
              <w:autoSpaceDE w:val="0"/>
              <w:autoSpaceDN w:val="0"/>
              <w:adjustRightInd w:val="0"/>
              <w:spacing w:after="0"/>
              <w:ind w:left="0"/>
              <w:rPr>
                <w:bCs/>
              </w:rPr>
            </w:pPr>
            <w:r w:rsidRPr="00CA1F0A">
              <w:rPr>
                <w:lang w:eastAsia="pl-PL"/>
              </w:rPr>
              <w:t xml:space="preserve">I. </w:t>
            </w:r>
            <w:r w:rsidR="0081718E" w:rsidRPr="00CA1F0A">
              <w:rPr>
                <w:lang w:eastAsia="pl-PL"/>
              </w:rPr>
              <w:t>Prin Legea nr. 207/2018</w:t>
            </w:r>
            <w:r w:rsidR="0081718E" w:rsidRPr="00CA1F0A">
              <w:rPr>
                <w:b/>
                <w:lang w:eastAsia="pl-PL"/>
              </w:rPr>
              <w:t xml:space="preserve"> </w:t>
            </w:r>
            <w:r w:rsidR="0081718E" w:rsidRPr="00CA1F0A">
              <w:t xml:space="preserve">pentru modificarea şi completarea Legii nr. 304/2004 privind organizarea judiciară </w:t>
            </w:r>
            <w:r w:rsidR="0081718E" w:rsidRPr="00CA1F0A">
              <w:rPr>
                <w:lang w:eastAsia="pl-PL"/>
              </w:rPr>
              <w:t xml:space="preserve">a fost înființată Secția pentru </w:t>
            </w:r>
            <w:r w:rsidR="003001B4" w:rsidRPr="00CA1F0A">
              <w:rPr>
                <w:lang w:eastAsia="pl-PL"/>
              </w:rPr>
              <w:t>i</w:t>
            </w:r>
            <w:r w:rsidR="0081718E" w:rsidRPr="00CA1F0A">
              <w:rPr>
                <w:lang w:eastAsia="pl-PL"/>
              </w:rPr>
              <w:t xml:space="preserve">nvestigarea </w:t>
            </w:r>
            <w:r w:rsidR="003001B4" w:rsidRPr="00CA1F0A">
              <w:rPr>
                <w:lang w:eastAsia="pl-PL"/>
              </w:rPr>
              <w:t>i</w:t>
            </w:r>
            <w:r w:rsidR="0081718E" w:rsidRPr="00CA1F0A">
              <w:rPr>
                <w:lang w:eastAsia="pl-PL"/>
              </w:rPr>
              <w:t xml:space="preserve">nfracțiunilor din </w:t>
            </w:r>
            <w:r w:rsidR="003001B4" w:rsidRPr="00CA1F0A">
              <w:rPr>
                <w:lang w:eastAsia="pl-PL"/>
              </w:rPr>
              <w:t>j</w:t>
            </w:r>
            <w:r w:rsidR="0081718E" w:rsidRPr="00CA1F0A">
              <w:rPr>
                <w:lang w:eastAsia="pl-PL"/>
              </w:rPr>
              <w:t>ustiție (în continuare SIIJ), ca structură fără personalitate juridică</w:t>
            </w:r>
            <w:r w:rsidR="0081718E" w:rsidRPr="00CA1F0A">
              <w:rPr>
                <w:b/>
                <w:lang w:eastAsia="pl-PL"/>
              </w:rPr>
              <w:t xml:space="preserve"> </w:t>
            </w:r>
            <w:r w:rsidR="0081718E" w:rsidRPr="00CA1F0A">
              <w:rPr>
                <w:lang w:eastAsia="pl-PL"/>
              </w:rPr>
              <w:t>în</w:t>
            </w:r>
            <w:r w:rsidR="0081718E" w:rsidRPr="00CA1F0A">
              <w:t xml:space="preserve"> cadrul Parchetului de pe lângă Înalta Curte de </w:t>
            </w:r>
            <w:proofErr w:type="spellStart"/>
            <w:r w:rsidR="0081718E" w:rsidRPr="00CA1F0A">
              <w:t>Casaţie</w:t>
            </w:r>
            <w:proofErr w:type="spellEnd"/>
            <w:r w:rsidR="0081718E" w:rsidRPr="00CA1F0A">
              <w:t xml:space="preserve"> </w:t>
            </w:r>
            <w:proofErr w:type="spellStart"/>
            <w:r w:rsidR="0081718E" w:rsidRPr="00CA1F0A">
              <w:t>şi</w:t>
            </w:r>
            <w:proofErr w:type="spellEnd"/>
            <w:r w:rsidR="0081718E" w:rsidRPr="00CA1F0A">
              <w:t xml:space="preserve"> </w:t>
            </w:r>
            <w:proofErr w:type="spellStart"/>
            <w:r w:rsidR="0081718E" w:rsidRPr="00CA1F0A">
              <w:t>Justiţie</w:t>
            </w:r>
            <w:proofErr w:type="spellEnd"/>
            <w:r w:rsidR="000570F5" w:rsidRPr="00CA1F0A">
              <w:t xml:space="preserve"> (PÎCCJ)</w:t>
            </w:r>
            <w:r w:rsidR="0081718E" w:rsidRPr="00CA1F0A">
              <w:t xml:space="preserve"> care </w:t>
            </w:r>
            <w:r w:rsidR="004F5812">
              <w:t xml:space="preserve">avea </w:t>
            </w:r>
            <w:proofErr w:type="spellStart"/>
            <w:r w:rsidR="0081718E" w:rsidRPr="00CA1F0A">
              <w:t>competenţa</w:t>
            </w:r>
            <w:proofErr w:type="spellEnd"/>
            <w:r w:rsidR="0081718E" w:rsidRPr="00CA1F0A">
              <w:t xml:space="preserve"> exclusivă de efectua</w:t>
            </w:r>
            <w:r w:rsidR="004F5812">
              <w:t xml:space="preserve">re a </w:t>
            </w:r>
            <w:r w:rsidR="0081718E" w:rsidRPr="00CA1F0A">
              <w:t>urmărir</w:t>
            </w:r>
            <w:r w:rsidR="004F5812">
              <w:t xml:space="preserve">ii </w:t>
            </w:r>
            <w:r w:rsidR="0081718E" w:rsidRPr="00CA1F0A">
              <w:t>penal</w:t>
            </w:r>
            <w:r w:rsidR="004F5812">
              <w:t>e</w:t>
            </w:r>
            <w:r w:rsidR="0081718E" w:rsidRPr="00CA1F0A">
              <w:t xml:space="preserve"> pentru infracţiunile săvârşite de judecători şi procurori, inclusiv judecătorii şi procurorii militari şi cei care au calitatea de membri ai Consiliului Superior al Magistraturii</w:t>
            </w:r>
            <w:r w:rsidR="00BE22A9" w:rsidRPr="00CA1F0A">
              <w:t xml:space="preserve"> (în continuare CSM)</w:t>
            </w:r>
            <w:r w:rsidR="0081718E" w:rsidRPr="00CA1F0A">
              <w:t xml:space="preserve">. </w:t>
            </w:r>
            <w:r w:rsidR="0081718E" w:rsidRPr="00CA1F0A">
              <w:rPr>
                <w:bCs/>
              </w:rPr>
              <w:t>Prin această lege au fost stabilite principiile de funcționare a</w:t>
            </w:r>
            <w:r w:rsidR="004F5812">
              <w:rPr>
                <w:bCs/>
              </w:rPr>
              <w:t xml:space="preserve"> SIIJ</w:t>
            </w:r>
            <w:r w:rsidR="0081718E" w:rsidRPr="00CA1F0A">
              <w:rPr>
                <w:bCs/>
              </w:rPr>
              <w:t>, modalitățile de numire a conducerii S</w:t>
            </w:r>
            <w:r w:rsidR="004F5812">
              <w:rPr>
                <w:bCs/>
              </w:rPr>
              <w:t>IIJ</w:t>
            </w:r>
            <w:r w:rsidR="0081718E" w:rsidRPr="00CA1F0A">
              <w:rPr>
                <w:bCs/>
              </w:rPr>
              <w:t xml:space="preserve"> și a procurorilor din cadrul acesteia. </w:t>
            </w:r>
          </w:p>
          <w:p w:rsidR="008668E5" w:rsidRPr="00CA1F0A" w:rsidRDefault="002F244C" w:rsidP="00537DEE">
            <w:pPr>
              <w:tabs>
                <w:tab w:val="left" w:pos="319"/>
              </w:tabs>
              <w:autoSpaceDE w:val="0"/>
              <w:autoSpaceDN w:val="0"/>
              <w:adjustRightInd w:val="0"/>
              <w:spacing w:after="0"/>
              <w:ind w:left="0"/>
            </w:pPr>
            <w:r w:rsidRPr="00CA1F0A">
              <w:rPr>
                <w:bCs/>
              </w:rPr>
              <w:t>În vederea operaționalizări</w:t>
            </w:r>
            <w:r w:rsidR="00795982" w:rsidRPr="00CA1F0A">
              <w:rPr>
                <w:bCs/>
              </w:rPr>
              <w:t>i</w:t>
            </w:r>
            <w:r w:rsidRPr="00CA1F0A">
              <w:rPr>
                <w:bCs/>
              </w:rPr>
              <w:t xml:space="preserve"> </w:t>
            </w:r>
            <w:r w:rsidR="004F5812">
              <w:rPr>
                <w:bCs/>
              </w:rPr>
              <w:t xml:space="preserve">SIIJ </w:t>
            </w:r>
            <w:r w:rsidRPr="00CA1F0A">
              <w:rPr>
                <w:bCs/>
              </w:rPr>
              <w:t>începând cu data stabilită de legiuitor - 23 octombrie 2018</w:t>
            </w:r>
            <w:r w:rsidR="00155559" w:rsidRPr="00CA1F0A">
              <w:rPr>
                <w:bCs/>
              </w:rPr>
              <w:t xml:space="preserve">, a fost </w:t>
            </w:r>
            <w:r w:rsidRPr="00CA1F0A">
              <w:rPr>
                <w:bCs/>
              </w:rPr>
              <w:t>adoptat</w:t>
            </w:r>
            <w:r w:rsidR="00155559" w:rsidRPr="00CA1F0A">
              <w:rPr>
                <w:bCs/>
              </w:rPr>
              <w:t>ă</w:t>
            </w:r>
            <w:r w:rsidR="0081718E" w:rsidRPr="00CA1F0A">
              <w:rPr>
                <w:bCs/>
              </w:rPr>
              <w:t xml:space="preserve"> Ordonanța de urgență a Guvernului nr. 90/2018 </w:t>
            </w:r>
            <w:r w:rsidR="0081718E" w:rsidRPr="00CA1F0A">
              <w:t xml:space="preserve">privind unele măsuri pentru </w:t>
            </w:r>
            <w:proofErr w:type="spellStart"/>
            <w:r w:rsidR="0081718E" w:rsidRPr="00CA1F0A">
              <w:t>operaţionalizarea</w:t>
            </w:r>
            <w:proofErr w:type="spellEnd"/>
            <w:r w:rsidR="0081718E" w:rsidRPr="00CA1F0A">
              <w:t xml:space="preserve"> </w:t>
            </w:r>
            <w:proofErr w:type="spellStart"/>
            <w:r w:rsidR="0081718E" w:rsidRPr="00CA1F0A">
              <w:t>Secţiei</w:t>
            </w:r>
            <w:proofErr w:type="spellEnd"/>
            <w:r w:rsidR="0081718E" w:rsidRPr="00CA1F0A">
              <w:t xml:space="preserve"> pentru investigarea </w:t>
            </w:r>
            <w:proofErr w:type="spellStart"/>
            <w:r w:rsidR="0081718E" w:rsidRPr="00CA1F0A">
              <w:t>infracţiunilor</w:t>
            </w:r>
            <w:proofErr w:type="spellEnd"/>
            <w:r w:rsidR="0081718E" w:rsidRPr="00CA1F0A">
              <w:t xml:space="preserve"> din </w:t>
            </w:r>
            <w:proofErr w:type="spellStart"/>
            <w:r w:rsidR="0081718E" w:rsidRPr="00CA1F0A">
              <w:t>justiţie</w:t>
            </w:r>
            <w:proofErr w:type="spellEnd"/>
            <w:r w:rsidRPr="00CA1F0A">
              <w:t>.</w:t>
            </w:r>
            <w:r w:rsidR="008668E5" w:rsidRPr="00CA1F0A">
              <w:t xml:space="preserve"> </w:t>
            </w:r>
          </w:p>
          <w:p w:rsidR="00155559" w:rsidRPr="00CA1F0A" w:rsidRDefault="002B2A34" w:rsidP="00537DEE">
            <w:pPr>
              <w:tabs>
                <w:tab w:val="left" w:pos="319"/>
              </w:tabs>
              <w:autoSpaceDE w:val="0"/>
              <w:autoSpaceDN w:val="0"/>
              <w:adjustRightInd w:val="0"/>
              <w:spacing w:after="0"/>
              <w:ind w:left="0"/>
              <w:rPr>
                <w:highlight w:val="yellow"/>
              </w:rPr>
            </w:pPr>
            <w:r w:rsidRPr="00CA1F0A">
              <w:t xml:space="preserve">Referitor la </w:t>
            </w:r>
            <w:proofErr w:type="spellStart"/>
            <w:r w:rsidRPr="00CA1F0A">
              <w:t>existenţa</w:t>
            </w:r>
            <w:proofErr w:type="spellEnd"/>
            <w:r w:rsidRPr="00CA1F0A">
              <w:t xml:space="preserve"> SIIJ, </w:t>
            </w:r>
            <w:r w:rsidR="00D51E61" w:rsidRPr="00CA1F0A">
              <w:t xml:space="preserve">Curtea </w:t>
            </w:r>
            <w:proofErr w:type="spellStart"/>
            <w:r w:rsidR="00D51E61" w:rsidRPr="00CA1F0A">
              <w:t>Constituţională</w:t>
            </w:r>
            <w:proofErr w:type="spellEnd"/>
            <w:r w:rsidR="00D51E61" w:rsidRPr="00CA1F0A">
              <w:t xml:space="preserve"> a constatat</w:t>
            </w:r>
            <w:r w:rsidR="00155559" w:rsidRPr="00CA1F0A">
              <w:t xml:space="preserve">, prin  </w:t>
            </w:r>
            <w:r w:rsidR="00155559" w:rsidRPr="00CA1F0A">
              <w:rPr>
                <w:i/>
              </w:rPr>
              <w:t xml:space="preserve">Decizia nr. 33/2018 referitoare la </w:t>
            </w:r>
            <w:proofErr w:type="spellStart"/>
            <w:r w:rsidR="00155559" w:rsidRPr="00CA1F0A">
              <w:rPr>
                <w:i/>
              </w:rPr>
              <w:t>obiecţia</w:t>
            </w:r>
            <w:proofErr w:type="spellEnd"/>
            <w:r w:rsidR="00155559" w:rsidRPr="00CA1F0A">
              <w:rPr>
                <w:i/>
              </w:rPr>
              <w:t xml:space="preserve"> de </w:t>
            </w:r>
            <w:proofErr w:type="spellStart"/>
            <w:r w:rsidR="00155559" w:rsidRPr="00CA1F0A">
              <w:rPr>
                <w:i/>
              </w:rPr>
              <w:t>neconstituţionalitate</w:t>
            </w:r>
            <w:proofErr w:type="spellEnd"/>
            <w:r w:rsidR="00155559" w:rsidRPr="00CA1F0A">
              <w:rPr>
                <w:i/>
              </w:rPr>
              <w:t xml:space="preserve"> a </w:t>
            </w:r>
            <w:proofErr w:type="spellStart"/>
            <w:r w:rsidR="00155559" w:rsidRPr="00CA1F0A">
              <w:rPr>
                <w:i/>
              </w:rPr>
              <w:t>dispoziţiilor</w:t>
            </w:r>
            <w:proofErr w:type="spellEnd"/>
            <w:r w:rsidR="00155559" w:rsidRPr="00CA1F0A">
              <w:rPr>
                <w:i/>
              </w:rPr>
              <w:t xml:space="preserve"> Legii pentru modificarea şi completarea Legii</w:t>
            </w:r>
            <w:r w:rsidR="008D0F31">
              <w:rPr>
                <w:i/>
              </w:rPr>
              <w:t xml:space="preserve"> </w:t>
            </w:r>
            <w:r w:rsidR="00155559" w:rsidRPr="00CA1F0A">
              <w:rPr>
                <w:i/>
              </w:rPr>
              <w:t>nr. 304/2004 privind organizarea judiciară</w:t>
            </w:r>
            <w:r w:rsidR="00155559" w:rsidRPr="00CA1F0A">
              <w:t xml:space="preserve">, publicată în Monitorul Oficial al României Partea I nr. 146 din 15 februarie 2018, </w:t>
            </w:r>
            <w:r w:rsidR="00D51E61" w:rsidRPr="00CA1F0A">
              <w:t xml:space="preserve">că </w:t>
            </w:r>
            <w:proofErr w:type="spellStart"/>
            <w:r w:rsidR="00D51E61" w:rsidRPr="00CA1F0A">
              <w:t>înfiinţarea</w:t>
            </w:r>
            <w:proofErr w:type="spellEnd"/>
            <w:r w:rsidR="00D51E61" w:rsidRPr="00CA1F0A">
              <w:t xml:space="preserve"> </w:t>
            </w:r>
            <w:proofErr w:type="spellStart"/>
            <w:r w:rsidR="00D51E61" w:rsidRPr="00CA1F0A">
              <w:t>şi</w:t>
            </w:r>
            <w:proofErr w:type="spellEnd"/>
            <w:r w:rsidR="00D51E61" w:rsidRPr="00CA1F0A">
              <w:t xml:space="preserve"> modul de organizare a SIIJ sunt </w:t>
            </w:r>
            <w:proofErr w:type="spellStart"/>
            <w:r w:rsidR="00D51E61" w:rsidRPr="00CA1F0A">
              <w:t>constituţionale</w:t>
            </w:r>
            <w:proofErr w:type="spellEnd"/>
            <w:r w:rsidR="00155559" w:rsidRPr="00CA1F0A">
              <w:t>. Prin aceeași decizie s-a reținut că „</w:t>
            </w:r>
            <w:proofErr w:type="spellStart"/>
            <w:r w:rsidR="00155559" w:rsidRPr="00CA1F0A">
              <w:rPr>
                <w:i/>
              </w:rPr>
              <w:t>înfiinţarea</w:t>
            </w:r>
            <w:proofErr w:type="spellEnd"/>
            <w:r w:rsidR="00155559" w:rsidRPr="00CA1F0A">
              <w:rPr>
                <w:i/>
              </w:rPr>
              <w:t xml:space="preserve"> unor structuri de parchet specializate pe domenii de </w:t>
            </w:r>
            <w:proofErr w:type="spellStart"/>
            <w:r w:rsidR="00155559" w:rsidRPr="00CA1F0A">
              <w:rPr>
                <w:i/>
              </w:rPr>
              <w:t>competenţă</w:t>
            </w:r>
            <w:proofErr w:type="spellEnd"/>
            <w:r w:rsidR="00155559" w:rsidRPr="00CA1F0A">
              <w:rPr>
                <w:i/>
              </w:rPr>
              <w:t xml:space="preserve"> materială (D.N.A. sau D.I.I.C.O.T.) sau personală (</w:t>
            </w:r>
            <w:proofErr w:type="spellStart"/>
            <w:r w:rsidR="00155559" w:rsidRPr="00CA1F0A">
              <w:rPr>
                <w:i/>
              </w:rPr>
              <w:t>Secţia</w:t>
            </w:r>
            <w:proofErr w:type="spellEnd"/>
            <w:r w:rsidR="00155559" w:rsidRPr="00CA1F0A">
              <w:rPr>
                <w:i/>
              </w:rPr>
              <w:t xml:space="preserve"> pentru Investigarea </w:t>
            </w:r>
            <w:proofErr w:type="spellStart"/>
            <w:r w:rsidR="00155559" w:rsidRPr="00CA1F0A">
              <w:rPr>
                <w:i/>
              </w:rPr>
              <w:t>Infracţiunilor</w:t>
            </w:r>
            <w:proofErr w:type="spellEnd"/>
            <w:r w:rsidR="00155559" w:rsidRPr="00CA1F0A">
              <w:rPr>
                <w:i/>
              </w:rPr>
              <w:t xml:space="preserve"> din </w:t>
            </w:r>
            <w:proofErr w:type="spellStart"/>
            <w:r w:rsidR="00155559" w:rsidRPr="00CA1F0A">
              <w:rPr>
                <w:i/>
              </w:rPr>
              <w:t>Justiţie</w:t>
            </w:r>
            <w:proofErr w:type="spellEnd"/>
            <w:r w:rsidR="00155559" w:rsidRPr="00CA1F0A">
              <w:rPr>
                <w:i/>
              </w:rPr>
              <w:t xml:space="preserve">) constituie expresia </w:t>
            </w:r>
            <w:proofErr w:type="spellStart"/>
            <w:r w:rsidR="00155559" w:rsidRPr="00CA1F0A">
              <w:rPr>
                <w:i/>
              </w:rPr>
              <w:t>opţiunii</w:t>
            </w:r>
            <w:proofErr w:type="spellEnd"/>
            <w:r w:rsidR="00155559" w:rsidRPr="00CA1F0A">
              <w:rPr>
                <w:i/>
              </w:rPr>
              <w:t xml:space="preserve"> legiuitorului, care, în </w:t>
            </w:r>
            <w:proofErr w:type="spellStart"/>
            <w:r w:rsidR="00155559" w:rsidRPr="00CA1F0A">
              <w:rPr>
                <w:i/>
              </w:rPr>
              <w:t>funcţie</w:t>
            </w:r>
            <w:proofErr w:type="spellEnd"/>
            <w:r w:rsidR="00155559" w:rsidRPr="00CA1F0A">
              <w:rPr>
                <w:i/>
              </w:rPr>
              <w:t xml:space="preserve"> de necesitatea prevenirii şi combaterii anumitor fenomene </w:t>
            </w:r>
            <w:proofErr w:type="spellStart"/>
            <w:r w:rsidR="00155559" w:rsidRPr="00CA1F0A">
              <w:rPr>
                <w:i/>
              </w:rPr>
              <w:t>infracţionale</w:t>
            </w:r>
            <w:proofErr w:type="spellEnd"/>
            <w:r w:rsidR="00155559" w:rsidRPr="00CA1F0A">
              <w:rPr>
                <w:i/>
              </w:rPr>
              <w:t>, decide cu privire la oportunitatea reglementării acestora</w:t>
            </w:r>
            <w:r w:rsidR="00155559" w:rsidRPr="00CA1F0A">
              <w:t>.”</w:t>
            </w:r>
            <w:r w:rsidR="004F5812">
              <w:t xml:space="preserve"> </w:t>
            </w:r>
            <w:r w:rsidR="00155559" w:rsidRPr="00CA1F0A">
              <w:t>(considerentul 135).</w:t>
            </w:r>
          </w:p>
          <w:p w:rsidR="00BC7962" w:rsidRPr="00CA1F0A" w:rsidRDefault="0094494F" w:rsidP="00537DEE">
            <w:pPr>
              <w:tabs>
                <w:tab w:val="left" w:pos="319"/>
              </w:tabs>
              <w:autoSpaceDE w:val="0"/>
              <w:autoSpaceDN w:val="0"/>
              <w:adjustRightInd w:val="0"/>
              <w:spacing w:after="0"/>
              <w:ind w:left="0"/>
            </w:pPr>
            <w:r w:rsidRPr="00CA1F0A">
              <w:t>Cu toate acestea, d</w:t>
            </w:r>
            <w:r w:rsidR="00D51E61" w:rsidRPr="00CA1F0A">
              <w:t xml:space="preserve">in analiza </w:t>
            </w:r>
            <w:r w:rsidR="00BC7962" w:rsidRPr="00CA1F0A">
              <w:t>dispozițiilor legale care reglementează activitatea SIIJ</w:t>
            </w:r>
            <w:r w:rsidR="002E65A5" w:rsidRPr="00CA1F0A">
              <w:t>,</w:t>
            </w:r>
            <w:r w:rsidR="00BC7962" w:rsidRPr="00CA1F0A">
              <w:t xml:space="preserve"> au rezultat următoarele:</w:t>
            </w:r>
          </w:p>
          <w:p w:rsidR="00BC7962" w:rsidRPr="00CA1F0A" w:rsidRDefault="00BC7962" w:rsidP="00537DEE">
            <w:pPr>
              <w:pStyle w:val="ListParagraph"/>
              <w:numPr>
                <w:ilvl w:val="0"/>
                <w:numId w:val="22"/>
              </w:numPr>
              <w:tabs>
                <w:tab w:val="left" w:pos="319"/>
              </w:tabs>
              <w:spacing w:after="0"/>
              <w:ind w:left="0" w:firstLine="0"/>
              <w:contextualSpacing w:val="0"/>
            </w:pPr>
            <w:r w:rsidRPr="00CA1F0A">
              <w:t>necorelarea dispozițiilor privind modul de organizare a S</w:t>
            </w:r>
            <w:r w:rsidR="004F5812">
              <w:t>IIJ</w:t>
            </w:r>
            <w:r w:rsidRPr="00CA1F0A">
              <w:t xml:space="preserve">, ca structură fără personalitate juridică în cadrul Parchetului de pe lângă Înalta Curte de Casație și Justiție, cu atribuțiile concrete ale șefului SIIJ, care par mai degrabă </w:t>
            </w:r>
            <w:r w:rsidRPr="00CA1F0A">
              <w:lastRenderedPageBreak/>
              <w:t>similare structurilor de parchet specializate, cu personalitate juridică (D</w:t>
            </w:r>
            <w:r w:rsidR="000570F5" w:rsidRPr="00CA1F0A">
              <w:t>irecția Națională Anticorupție - D</w:t>
            </w:r>
            <w:r w:rsidRPr="00CA1F0A">
              <w:t xml:space="preserve">NA, </w:t>
            </w:r>
            <w:r w:rsidR="000570F5" w:rsidRPr="00CA1F0A">
              <w:t xml:space="preserve">Direcția de Investigare a Infracțiunilor de Criminalitate Organizată și Terorism - </w:t>
            </w:r>
            <w:r w:rsidRPr="00CA1F0A">
              <w:t>DIICOT); în acest sens, spre exemplu, apare atipică reglementarea numirii agenților și ofițerilor de poliție judiciară și a specialiștilor de către un procuror șef de secție din cadrul unui parchet;</w:t>
            </w:r>
          </w:p>
          <w:p w:rsidR="00BC7962" w:rsidRPr="00CA1F0A" w:rsidRDefault="00BC7962" w:rsidP="00537DEE">
            <w:pPr>
              <w:pStyle w:val="ListParagraph"/>
              <w:numPr>
                <w:ilvl w:val="0"/>
                <w:numId w:val="22"/>
              </w:numPr>
              <w:tabs>
                <w:tab w:val="left" w:pos="319"/>
              </w:tabs>
              <w:spacing w:after="0"/>
              <w:ind w:left="0" w:firstLine="0"/>
              <w:contextualSpacing w:val="0"/>
            </w:pPr>
            <w:r w:rsidRPr="00CA1F0A">
              <w:t xml:space="preserve">existența unei imunități de jurisdicție penală </w:t>
            </w:r>
            <w:r w:rsidRPr="00CA1F0A">
              <w:rPr>
                <w:i/>
              </w:rPr>
              <w:t>de facto</w:t>
            </w:r>
            <w:r w:rsidRPr="00CA1F0A">
              <w:t xml:space="preserve"> a procurorilor din cadrul SIIJ, în unele situații;</w:t>
            </w:r>
          </w:p>
          <w:p w:rsidR="003C28D2" w:rsidRPr="00CA1F0A" w:rsidRDefault="003C28D2" w:rsidP="00537DEE">
            <w:pPr>
              <w:pStyle w:val="ListParagraph"/>
              <w:numPr>
                <w:ilvl w:val="0"/>
                <w:numId w:val="22"/>
              </w:numPr>
              <w:tabs>
                <w:tab w:val="left" w:pos="319"/>
              </w:tabs>
              <w:spacing w:after="0"/>
              <w:ind w:left="0" w:firstLine="0"/>
              <w:contextualSpacing w:val="0"/>
            </w:pPr>
            <w:r w:rsidRPr="00CA1F0A">
              <w:t xml:space="preserve">modul de reglementare și funcționare a SIIJ, raportat la definirea noțiunii de procuror ierarhic superior, </w:t>
            </w:r>
            <w:r w:rsidR="004F5812">
              <w:t xml:space="preserve">a </w:t>
            </w:r>
            <w:r w:rsidRPr="00CA1F0A">
              <w:t>comport</w:t>
            </w:r>
            <w:r w:rsidR="004F5812">
              <w:t xml:space="preserve">at </w:t>
            </w:r>
            <w:r w:rsidRPr="00CA1F0A">
              <w:t>discuții din perspectiva principiului constituțional al controlului ierarhic.</w:t>
            </w:r>
          </w:p>
          <w:p w:rsidR="003C28D2" w:rsidRPr="00CA1F0A" w:rsidRDefault="003C28D2" w:rsidP="00537DEE">
            <w:pPr>
              <w:pStyle w:val="ListParagraph"/>
              <w:tabs>
                <w:tab w:val="left" w:pos="319"/>
              </w:tabs>
              <w:spacing w:after="0"/>
              <w:ind w:left="0"/>
              <w:contextualSpacing w:val="0"/>
            </w:pPr>
            <w:r w:rsidRPr="00CA1F0A">
              <w:t xml:space="preserve">Sub acest aspect este de menționat și faptul că prin </w:t>
            </w:r>
            <w:r w:rsidRPr="00CA1F0A">
              <w:rPr>
                <w:i/>
              </w:rPr>
              <w:t xml:space="preserve">Decizia nr. 547/2020 referitoare la </w:t>
            </w:r>
            <w:proofErr w:type="spellStart"/>
            <w:r w:rsidRPr="00CA1F0A">
              <w:rPr>
                <w:i/>
              </w:rPr>
              <w:t>excepţia</w:t>
            </w:r>
            <w:proofErr w:type="spellEnd"/>
            <w:r w:rsidRPr="00CA1F0A">
              <w:rPr>
                <w:i/>
              </w:rPr>
              <w:t xml:space="preserve"> de </w:t>
            </w:r>
            <w:proofErr w:type="spellStart"/>
            <w:r w:rsidRPr="00CA1F0A">
              <w:rPr>
                <w:i/>
              </w:rPr>
              <w:t>neconstituţionalitate</w:t>
            </w:r>
            <w:proofErr w:type="spellEnd"/>
            <w:r w:rsidRPr="00CA1F0A">
              <w:rPr>
                <w:i/>
              </w:rPr>
              <w:t xml:space="preserve"> a </w:t>
            </w:r>
            <w:proofErr w:type="spellStart"/>
            <w:r w:rsidRPr="00CA1F0A">
              <w:rPr>
                <w:i/>
              </w:rPr>
              <w:t>dispoziţiilor</w:t>
            </w:r>
            <w:proofErr w:type="spellEnd"/>
            <w:r w:rsidRPr="00CA1F0A">
              <w:rPr>
                <w:i/>
              </w:rPr>
              <w:t xml:space="preserve"> art. 88</w:t>
            </w:r>
            <w:r w:rsidRPr="00CA1F0A">
              <w:rPr>
                <w:i/>
                <w:vertAlign w:val="superscript"/>
              </w:rPr>
              <w:t>1</w:t>
            </w:r>
            <w:r w:rsidRPr="00CA1F0A">
              <w:rPr>
                <w:i/>
              </w:rPr>
              <w:t xml:space="preserve"> – 88</w:t>
            </w:r>
            <w:r w:rsidRPr="00CA1F0A">
              <w:rPr>
                <w:i/>
                <w:vertAlign w:val="superscript"/>
              </w:rPr>
              <w:t>9</w:t>
            </w:r>
            <w:r w:rsidRPr="00CA1F0A">
              <w:rPr>
                <w:i/>
              </w:rPr>
              <w:t xml:space="preserve"> din Legea nr. 304/2004 privind organizarea judiciară, precum </w:t>
            </w:r>
            <w:proofErr w:type="spellStart"/>
            <w:r w:rsidRPr="00CA1F0A">
              <w:rPr>
                <w:i/>
              </w:rPr>
              <w:t>şi</w:t>
            </w:r>
            <w:proofErr w:type="spellEnd"/>
            <w:r w:rsidRPr="00CA1F0A">
              <w:rPr>
                <w:i/>
              </w:rPr>
              <w:t xml:space="preserve"> a </w:t>
            </w:r>
            <w:proofErr w:type="spellStart"/>
            <w:r w:rsidRPr="00CA1F0A">
              <w:rPr>
                <w:i/>
              </w:rPr>
              <w:t>Ordonanţei</w:t>
            </w:r>
            <w:proofErr w:type="spellEnd"/>
            <w:r w:rsidRPr="00CA1F0A">
              <w:rPr>
                <w:i/>
              </w:rPr>
              <w:t xml:space="preserve"> de </w:t>
            </w:r>
            <w:proofErr w:type="spellStart"/>
            <w:r w:rsidRPr="00CA1F0A">
              <w:rPr>
                <w:i/>
              </w:rPr>
              <w:t>urgenţă</w:t>
            </w:r>
            <w:proofErr w:type="spellEnd"/>
            <w:r w:rsidRPr="00CA1F0A">
              <w:rPr>
                <w:i/>
              </w:rPr>
              <w:t xml:space="preserve"> a Guvernului nr. 90/2018 privind unele măsuri pentru </w:t>
            </w:r>
            <w:proofErr w:type="spellStart"/>
            <w:r w:rsidRPr="00CA1F0A">
              <w:rPr>
                <w:i/>
              </w:rPr>
              <w:t>operaţionalizarea</w:t>
            </w:r>
            <w:proofErr w:type="spellEnd"/>
            <w:r w:rsidRPr="00CA1F0A">
              <w:rPr>
                <w:i/>
              </w:rPr>
              <w:t xml:space="preserve"> </w:t>
            </w:r>
            <w:proofErr w:type="spellStart"/>
            <w:r w:rsidRPr="00CA1F0A">
              <w:rPr>
                <w:i/>
              </w:rPr>
              <w:t>Secţiei</w:t>
            </w:r>
            <w:proofErr w:type="spellEnd"/>
            <w:r w:rsidRPr="00CA1F0A">
              <w:rPr>
                <w:i/>
              </w:rPr>
              <w:t xml:space="preserve"> pentru investigarea </w:t>
            </w:r>
            <w:proofErr w:type="spellStart"/>
            <w:r w:rsidRPr="00CA1F0A">
              <w:rPr>
                <w:i/>
              </w:rPr>
              <w:t>infracţiunilor</w:t>
            </w:r>
            <w:proofErr w:type="spellEnd"/>
            <w:r w:rsidRPr="00CA1F0A">
              <w:rPr>
                <w:i/>
              </w:rPr>
              <w:t xml:space="preserve"> din </w:t>
            </w:r>
            <w:proofErr w:type="spellStart"/>
            <w:r w:rsidRPr="00CA1F0A">
              <w:rPr>
                <w:i/>
              </w:rPr>
              <w:t>justiţie</w:t>
            </w:r>
            <w:proofErr w:type="spellEnd"/>
            <w:r w:rsidRPr="00CA1F0A">
              <w:t xml:space="preserve">, publicată în Monitorul Oficial al României nr. 753 din 19 august 2020, Curtea Constituțională </w:t>
            </w:r>
            <w:r w:rsidR="00C71023" w:rsidRPr="00CA1F0A">
              <w:t xml:space="preserve">(în continuare CCR) </w:t>
            </w:r>
            <w:r w:rsidRPr="00CA1F0A">
              <w:t xml:space="preserve">a </w:t>
            </w:r>
            <w:proofErr w:type="spellStart"/>
            <w:r w:rsidRPr="00CA1F0A">
              <w:t>сonstatat</w:t>
            </w:r>
            <w:proofErr w:type="spellEnd"/>
            <w:r w:rsidRPr="00CA1F0A">
              <w:t xml:space="preserve"> neconstituționalitatea prevederii </w:t>
            </w:r>
            <w:r w:rsidR="00BE22A9" w:rsidRPr="00CA1F0A">
              <w:t>cuprinse în alin. (6) al art. 88</w:t>
            </w:r>
            <w:r w:rsidR="00BE22A9" w:rsidRPr="00CA1F0A">
              <w:rPr>
                <w:vertAlign w:val="superscript"/>
              </w:rPr>
              <w:t>1</w:t>
            </w:r>
            <w:r w:rsidR="00BE22A9" w:rsidRPr="00CA1F0A">
              <w:t xml:space="preserve"> din Legea nr. 304/2004 </w:t>
            </w:r>
            <w:r w:rsidRPr="00CA1F0A">
              <w:t>conform căreia «</w:t>
            </w:r>
            <w:r w:rsidRPr="00CA1F0A">
              <w:rPr>
                <w:i/>
              </w:rPr>
              <w:t>Ori de câte ori Codul de procedură penală sau alte legi speciale fac trimitere la "procurorul ierarhic superior" în cazul infracțiunilor de competența Secției pentru investigarea infracțiunilor din justiție, prin acesta se înțelege procurorul șef al secției, inclusiv în cazul soluțiilor dispuse anterior operaționalizării acesteia</w:t>
            </w:r>
            <w:r w:rsidRPr="00CA1F0A">
              <w:t>», prevedere aplicabilă în ceea ce privește funcționarea Secției.  Curtea a reținut faptul că:</w:t>
            </w:r>
          </w:p>
          <w:p w:rsidR="003C28D2" w:rsidRPr="00CA1F0A" w:rsidRDefault="003C28D2" w:rsidP="00537DEE">
            <w:pPr>
              <w:pStyle w:val="ListParagraph"/>
              <w:tabs>
                <w:tab w:val="left" w:pos="319"/>
              </w:tabs>
              <w:spacing w:after="0"/>
              <w:ind w:left="0"/>
              <w:contextualSpacing w:val="0"/>
            </w:pPr>
            <w:r w:rsidRPr="00CA1F0A">
              <w:t xml:space="preserve"> «</w:t>
            </w:r>
            <w:r w:rsidRPr="00CA1F0A">
              <w:rPr>
                <w:i/>
              </w:rPr>
              <w:t>69. (…)</w:t>
            </w:r>
            <w:r w:rsidRPr="00CA1F0A">
              <w:t xml:space="preserve"> </w:t>
            </w:r>
            <w:r w:rsidRPr="00CA1F0A">
              <w:rPr>
                <w:i/>
              </w:rPr>
              <w:t xml:space="preserve">având în vedere momentul în care sunt dispuse soluțiile prin raportare la care procurorul-șef al secției își exercită calitatea de procuror ierarhic superior - anterior operaționalizării secției, deci anterior momentului în care aceasta a devenit funcțională, norma dobândește un vădit caracter tranzitoriu, reglementând situația cauzelor preluate de către S.I.I.J. de la alte structuri de parchet. (...)  Curtea constată că aceasta încalcă principiul controlului ierarhic, întrucât stabilește în competența procurorului-șef al S.I.I.J. controlul asupra activității unor procurori din afara acestei secții cu privire la actele dispuse de aceștia în cauzele care ulterior au fost transferate în competența S.I.I.J. Or, este evident că, stabilind structura ierarhică din cadrul P.Î.C.C.J., legea nu poate crea raporturi de conducere/subordonare decât în plan vertical, iar nu și în plan orizontal între diferitele secții/direcții ale P.Î.C.C.J. Principiul subordonării ierarhice este aplicabil în interiorul fiecărei structuri, procurorii fiind supuși </w:t>
            </w:r>
            <w:r w:rsidRPr="00CA1F0A">
              <w:rPr>
                <w:i/>
              </w:rPr>
              <w:lastRenderedPageBreak/>
              <w:t>controlului exercitat de procurorul ierarhic superior, toate aceste structuri fiind subordonate procurorului general al P.Î.C.C.J.</w:t>
            </w:r>
            <w:r w:rsidRPr="00CA1F0A">
              <w:t>»</w:t>
            </w:r>
          </w:p>
          <w:p w:rsidR="00CA1F0A" w:rsidRPr="00CA1F0A" w:rsidRDefault="001F14A3" w:rsidP="00537DEE">
            <w:pPr>
              <w:pStyle w:val="ListParagraph"/>
              <w:tabs>
                <w:tab w:val="left" w:pos="319"/>
              </w:tabs>
              <w:spacing w:after="0"/>
              <w:ind w:left="0"/>
              <w:contextualSpacing w:val="0"/>
            </w:pPr>
            <w:r w:rsidRPr="00CA1F0A">
              <w:t>Din perspectiva oportunității</w:t>
            </w:r>
            <w:r w:rsidR="004F5812">
              <w:t xml:space="preserve"> existenței </w:t>
            </w:r>
            <w:r w:rsidR="00682FB5">
              <w:t>unei</w:t>
            </w:r>
            <w:r w:rsidR="004F5812">
              <w:t xml:space="preserve"> secții specializate în investigarea infracțiunilor din justiție</w:t>
            </w:r>
            <w:r w:rsidRPr="00CA1F0A">
              <w:t xml:space="preserve">, în raport cu nevoile reale ale sistemului judiciar și </w:t>
            </w:r>
            <w:r w:rsidR="004F5812">
              <w:t xml:space="preserve">prin raportare la </w:t>
            </w:r>
            <w:r w:rsidR="00DE2A8E" w:rsidRPr="00CA1F0A">
              <w:t>activit</w:t>
            </w:r>
            <w:r w:rsidR="004F5812">
              <w:t xml:space="preserve">atea </w:t>
            </w:r>
            <w:r w:rsidRPr="00CA1F0A">
              <w:t xml:space="preserve">SIIJ de la data operaționalizării sale (23 octombrie 2018) până în prezent, se </w:t>
            </w:r>
            <w:r w:rsidR="00DE2A8E" w:rsidRPr="00CA1F0A">
              <w:t>desprind</w:t>
            </w:r>
            <w:r w:rsidRPr="00CA1F0A">
              <w:t xml:space="preserve"> concluzii relevante în sensul  necesității desființării acestei structuri</w:t>
            </w:r>
            <w:r w:rsidR="00DE2A8E" w:rsidRPr="00CA1F0A">
              <w:t>. Astfel, de la data operaționalizării sale Secția nu a avut rezultate deosebite</w:t>
            </w:r>
            <w:r w:rsidR="004F5812">
              <w:t>.</w:t>
            </w:r>
          </w:p>
          <w:p w:rsidR="00DE2A8E" w:rsidRPr="00CA1F0A" w:rsidRDefault="004F5812" w:rsidP="00537DEE">
            <w:pPr>
              <w:tabs>
                <w:tab w:val="left" w:pos="319"/>
              </w:tabs>
              <w:autoSpaceDE w:val="0"/>
              <w:autoSpaceDN w:val="0"/>
              <w:adjustRightInd w:val="0"/>
              <w:spacing w:after="0"/>
              <w:ind w:left="0"/>
            </w:pPr>
            <w:r>
              <w:t>De exemplu, o</w:t>
            </w:r>
            <w:r w:rsidR="00DE2A8E" w:rsidRPr="00CA1F0A">
              <w:t>pinii în sensul desființării SIIJ au fost exprimate și cu ocazia consultărilor efectuate cu privire la modul de implementare a recomandărilor europene, puncte</w:t>
            </w:r>
            <w:r w:rsidR="00BE22A9" w:rsidRPr="00CA1F0A">
              <w:t xml:space="preserve"> </w:t>
            </w:r>
            <w:r w:rsidR="00DE2A8E" w:rsidRPr="00CA1F0A">
              <w:t>de vedere în acest sens fiind solicitate ÎCCJ, CSM, PÎCCJ, DNA, DIICOT, SIIJ și asociațiilor magistraților. Ca argumente aduse de entitățile consultate în favoarea desființării putem exemplifica următoarele:</w:t>
            </w:r>
          </w:p>
          <w:p w:rsidR="00DE2A8E" w:rsidRPr="00CA1F0A" w:rsidRDefault="00DE2A8E" w:rsidP="00537DEE">
            <w:pPr>
              <w:pStyle w:val="ListParagraph"/>
              <w:numPr>
                <w:ilvl w:val="0"/>
                <w:numId w:val="23"/>
              </w:numPr>
              <w:tabs>
                <w:tab w:val="left" w:pos="319"/>
              </w:tabs>
              <w:spacing w:after="0"/>
              <w:ind w:left="0" w:firstLine="0"/>
              <w:contextualSpacing w:val="0"/>
              <w:rPr>
                <w:rFonts w:cs="Calibri"/>
                <w:iCs/>
              </w:rPr>
            </w:pPr>
            <w:r w:rsidRPr="00CA1F0A">
              <w:rPr>
                <w:bCs/>
              </w:rPr>
              <w:t xml:space="preserve">prin modul de organizare </w:t>
            </w:r>
            <w:proofErr w:type="spellStart"/>
            <w:r w:rsidRPr="00CA1F0A">
              <w:rPr>
                <w:bCs/>
              </w:rPr>
              <w:t>şi</w:t>
            </w:r>
            <w:proofErr w:type="spellEnd"/>
            <w:r w:rsidRPr="00CA1F0A">
              <w:rPr>
                <w:bCs/>
              </w:rPr>
              <w:t xml:space="preserve"> </w:t>
            </w:r>
            <w:proofErr w:type="spellStart"/>
            <w:r w:rsidRPr="00CA1F0A">
              <w:rPr>
                <w:bCs/>
              </w:rPr>
              <w:t>funcţionare</w:t>
            </w:r>
            <w:proofErr w:type="spellEnd"/>
            <w:r w:rsidRPr="00CA1F0A">
              <w:rPr>
                <w:bCs/>
              </w:rPr>
              <w:t xml:space="preserve"> a SIIJ s-a creat </w:t>
            </w:r>
            <w:r w:rsidRPr="00CA1F0A">
              <w:rPr>
                <w:bCs/>
                <w:i/>
              </w:rPr>
              <w:t>de facto</w:t>
            </w:r>
            <w:r w:rsidRPr="00CA1F0A">
              <w:rPr>
                <w:bCs/>
              </w:rPr>
              <w:t xml:space="preserve"> o categorie de </w:t>
            </w:r>
            <w:proofErr w:type="spellStart"/>
            <w:r w:rsidRPr="00CA1F0A">
              <w:rPr>
                <w:bCs/>
              </w:rPr>
              <w:t>cetăţeni</w:t>
            </w:r>
            <w:proofErr w:type="spellEnd"/>
            <w:r w:rsidRPr="00CA1F0A">
              <w:rPr>
                <w:bCs/>
              </w:rPr>
              <w:t xml:space="preserve"> care beneficiază de imunitate de </w:t>
            </w:r>
            <w:proofErr w:type="spellStart"/>
            <w:r w:rsidRPr="00CA1F0A">
              <w:rPr>
                <w:bCs/>
              </w:rPr>
              <w:t>jurisdicţie</w:t>
            </w:r>
            <w:proofErr w:type="spellEnd"/>
            <w:r w:rsidRPr="00CA1F0A">
              <w:rPr>
                <w:bCs/>
              </w:rPr>
              <w:t xml:space="preserve"> penală totală, respectiv procurorii din cadrul SIIJ; SIIJ se îndepărtează de la orice fel de control ierarhic, dar şi judecătoresc eficient - în cazul </w:t>
            </w:r>
            <w:proofErr w:type="spellStart"/>
            <w:r w:rsidRPr="00CA1F0A">
              <w:rPr>
                <w:bCs/>
              </w:rPr>
              <w:t>soluţiilor</w:t>
            </w:r>
            <w:proofErr w:type="spellEnd"/>
            <w:r w:rsidRPr="00CA1F0A">
              <w:rPr>
                <w:bCs/>
              </w:rPr>
              <w:t xml:space="preserve"> de clasare - fiind compusă dintr-un număr extrem de redus de procurori, care </w:t>
            </w:r>
            <w:proofErr w:type="spellStart"/>
            <w:r w:rsidRPr="00CA1F0A">
              <w:rPr>
                <w:bCs/>
              </w:rPr>
              <w:t>îşi</w:t>
            </w:r>
            <w:proofErr w:type="spellEnd"/>
            <w:r w:rsidRPr="00CA1F0A">
              <w:rPr>
                <w:bCs/>
              </w:rPr>
              <w:t xml:space="preserve"> pot da ei </w:t>
            </w:r>
            <w:r w:rsidR="00270281" w:rsidRPr="00CA1F0A">
              <w:rPr>
                <w:bCs/>
              </w:rPr>
              <w:t>înșiși</w:t>
            </w:r>
            <w:r w:rsidRPr="00CA1F0A">
              <w:rPr>
                <w:bCs/>
              </w:rPr>
              <w:t xml:space="preserve">, reciproc, orice </w:t>
            </w:r>
            <w:proofErr w:type="spellStart"/>
            <w:r w:rsidRPr="00CA1F0A">
              <w:rPr>
                <w:bCs/>
              </w:rPr>
              <w:t>soluţie</w:t>
            </w:r>
            <w:proofErr w:type="spellEnd"/>
            <w:r w:rsidRPr="00CA1F0A">
              <w:rPr>
                <w:bCs/>
              </w:rPr>
              <w:t xml:space="preserve"> de clasare indiferent de </w:t>
            </w:r>
            <w:proofErr w:type="spellStart"/>
            <w:r w:rsidRPr="00CA1F0A">
              <w:rPr>
                <w:bCs/>
              </w:rPr>
              <w:t>situaţia</w:t>
            </w:r>
            <w:proofErr w:type="spellEnd"/>
            <w:r w:rsidRPr="00CA1F0A">
              <w:rPr>
                <w:bCs/>
              </w:rPr>
              <w:t xml:space="preserve"> de fapt sau de drept şi indiferent de ce abuz ar putea face, pornind de la premisa că </w:t>
            </w:r>
            <w:proofErr w:type="spellStart"/>
            <w:r w:rsidRPr="00CA1F0A">
              <w:rPr>
                <w:bCs/>
              </w:rPr>
              <w:t>instanţele</w:t>
            </w:r>
            <w:proofErr w:type="spellEnd"/>
            <w:r w:rsidRPr="00CA1F0A">
              <w:rPr>
                <w:bCs/>
              </w:rPr>
              <w:t xml:space="preserve"> </w:t>
            </w:r>
            <w:proofErr w:type="spellStart"/>
            <w:r w:rsidRPr="00CA1F0A">
              <w:rPr>
                <w:bCs/>
              </w:rPr>
              <w:t>judecătoreşti</w:t>
            </w:r>
            <w:proofErr w:type="spellEnd"/>
            <w:r w:rsidRPr="00CA1F0A">
              <w:rPr>
                <w:bCs/>
              </w:rPr>
              <w:t xml:space="preserve"> nu pot obliga să-şi trimită în judecată un coleg, membru al acestei </w:t>
            </w:r>
            <w:r w:rsidR="00270281" w:rsidRPr="00CA1F0A">
              <w:rPr>
                <w:bCs/>
              </w:rPr>
              <w:t>secții</w:t>
            </w:r>
            <w:r w:rsidRPr="00CA1F0A">
              <w:rPr>
                <w:bCs/>
              </w:rPr>
              <w:t>;</w:t>
            </w:r>
          </w:p>
          <w:p w:rsidR="00DE2A8E" w:rsidRPr="00CA1F0A" w:rsidRDefault="00DE2A8E" w:rsidP="00537DEE">
            <w:pPr>
              <w:pStyle w:val="ListParagraph"/>
              <w:numPr>
                <w:ilvl w:val="0"/>
                <w:numId w:val="23"/>
              </w:numPr>
              <w:tabs>
                <w:tab w:val="left" w:pos="319"/>
              </w:tabs>
              <w:spacing w:after="0"/>
              <w:ind w:left="0" w:firstLine="0"/>
              <w:contextualSpacing w:val="0"/>
              <w:rPr>
                <w:rFonts w:cs="Calibri"/>
                <w:iCs/>
              </w:rPr>
            </w:pPr>
            <w:r w:rsidRPr="00CA1F0A">
              <w:rPr>
                <w:bCs/>
              </w:rPr>
              <w:t xml:space="preserve">lipsa unor </w:t>
            </w:r>
            <w:proofErr w:type="spellStart"/>
            <w:r w:rsidRPr="00CA1F0A">
              <w:rPr>
                <w:bCs/>
              </w:rPr>
              <w:t>dispoziţii</w:t>
            </w:r>
            <w:proofErr w:type="spellEnd"/>
            <w:r w:rsidRPr="00CA1F0A">
              <w:rPr>
                <w:bCs/>
              </w:rPr>
              <w:t xml:space="preserve"> exprese care să prevadă posibilitatea procurorilor din cadrul acestei </w:t>
            </w:r>
            <w:r w:rsidR="00270281" w:rsidRPr="00CA1F0A">
              <w:rPr>
                <w:bCs/>
              </w:rPr>
              <w:t>secții</w:t>
            </w:r>
            <w:r w:rsidRPr="00CA1F0A">
              <w:rPr>
                <w:bCs/>
              </w:rPr>
              <w:t xml:space="preserve"> de a participa la </w:t>
            </w:r>
            <w:r w:rsidR="00270281" w:rsidRPr="00CA1F0A">
              <w:rPr>
                <w:bCs/>
              </w:rPr>
              <w:t>ședințele</w:t>
            </w:r>
            <w:r w:rsidRPr="00CA1F0A">
              <w:rPr>
                <w:bCs/>
              </w:rPr>
              <w:t xml:space="preserve"> de judecată în cauzele de </w:t>
            </w:r>
            <w:proofErr w:type="spellStart"/>
            <w:r w:rsidRPr="00CA1F0A">
              <w:rPr>
                <w:bCs/>
              </w:rPr>
              <w:t>competenţa</w:t>
            </w:r>
            <w:proofErr w:type="spellEnd"/>
            <w:r w:rsidRPr="00CA1F0A">
              <w:rPr>
                <w:bCs/>
              </w:rPr>
              <w:t xml:space="preserve"> SIIJ în care se dispune luarea măsurilor preventive, a celor asigurătorii, soluţionarea cererilor privind măsurile speciale de supraveghere etc., precum şi </w:t>
            </w:r>
            <w:r w:rsidR="009941E9" w:rsidRPr="00CA1F0A">
              <w:rPr>
                <w:bCs/>
              </w:rPr>
              <w:t xml:space="preserve">la </w:t>
            </w:r>
            <w:r w:rsidRPr="00CA1F0A">
              <w:rPr>
                <w:bCs/>
              </w:rPr>
              <w:t>judecarea în fond şi în căile de atac</w:t>
            </w:r>
            <w:r w:rsidR="00270281" w:rsidRPr="00CA1F0A">
              <w:rPr>
                <w:bCs/>
              </w:rPr>
              <w:t xml:space="preserve"> a respectivelor cauze (lipsă care a </w:t>
            </w:r>
            <w:r w:rsidRPr="00CA1F0A">
              <w:rPr>
                <w:bCs/>
              </w:rPr>
              <w:t xml:space="preserve">creat deja </w:t>
            </w:r>
            <w:proofErr w:type="spellStart"/>
            <w:r w:rsidRPr="00CA1F0A">
              <w:rPr>
                <w:bCs/>
              </w:rPr>
              <w:t>dificultăţi</w:t>
            </w:r>
            <w:proofErr w:type="spellEnd"/>
            <w:r w:rsidRPr="00CA1F0A">
              <w:rPr>
                <w:bCs/>
              </w:rPr>
              <w:t xml:space="preserve"> majore în practică</w:t>
            </w:r>
            <w:r w:rsidR="00270281" w:rsidRPr="00CA1F0A">
              <w:rPr>
                <w:bCs/>
              </w:rPr>
              <w:t>)</w:t>
            </w:r>
            <w:r w:rsidRPr="00CA1F0A">
              <w:rPr>
                <w:bCs/>
              </w:rPr>
              <w:t>;</w:t>
            </w:r>
          </w:p>
          <w:p w:rsidR="00DE2A8E" w:rsidRPr="00CA1F0A" w:rsidRDefault="00DE2A8E" w:rsidP="00537DEE">
            <w:pPr>
              <w:pStyle w:val="ListParagraph"/>
              <w:numPr>
                <w:ilvl w:val="0"/>
                <w:numId w:val="23"/>
              </w:numPr>
              <w:tabs>
                <w:tab w:val="left" w:pos="319"/>
              </w:tabs>
              <w:spacing w:after="0"/>
              <w:ind w:left="0" w:firstLine="0"/>
              <w:contextualSpacing w:val="0"/>
              <w:rPr>
                <w:rFonts w:cs="Calibri"/>
                <w:iCs/>
              </w:rPr>
            </w:pPr>
            <w:proofErr w:type="spellStart"/>
            <w:r w:rsidRPr="00CA1F0A">
              <w:rPr>
                <w:bCs/>
              </w:rPr>
              <w:t>competenţa</w:t>
            </w:r>
            <w:proofErr w:type="spellEnd"/>
            <w:r w:rsidRPr="00CA1F0A">
              <w:rPr>
                <w:bCs/>
              </w:rPr>
              <w:t xml:space="preserve"> materială </w:t>
            </w:r>
            <w:proofErr w:type="spellStart"/>
            <w:r w:rsidRPr="00CA1F0A">
              <w:rPr>
                <w:bCs/>
              </w:rPr>
              <w:t>şi</w:t>
            </w:r>
            <w:proofErr w:type="spellEnd"/>
            <w:r w:rsidRPr="00CA1F0A">
              <w:rPr>
                <w:bCs/>
              </w:rPr>
              <w:t xml:space="preserve"> teritorială </w:t>
            </w:r>
            <w:r w:rsidR="003A50F0">
              <w:rPr>
                <w:bCs/>
              </w:rPr>
              <w:t xml:space="preserve">exclusivă </w:t>
            </w:r>
            <w:r w:rsidRPr="00CA1F0A">
              <w:rPr>
                <w:bCs/>
              </w:rPr>
              <w:t xml:space="preserve">atribuită acestei </w:t>
            </w:r>
            <w:r w:rsidR="00270281" w:rsidRPr="00CA1F0A">
              <w:rPr>
                <w:bCs/>
              </w:rPr>
              <w:t>secții</w:t>
            </w:r>
            <w:r w:rsidRPr="00CA1F0A">
              <w:rPr>
                <w:bCs/>
              </w:rPr>
              <w:t xml:space="preserve">, din punct de vedere </w:t>
            </w:r>
            <w:r w:rsidR="00270281" w:rsidRPr="00CA1F0A">
              <w:rPr>
                <w:bCs/>
              </w:rPr>
              <w:t>funcțional</w:t>
            </w:r>
            <w:r w:rsidRPr="00CA1F0A">
              <w:rPr>
                <w:bCs/>
              </w:rPr>
              <w:t xml:space="preserve">, </w:t>
            </w:r>
            <w:r w:rsidR="003A50F0">
              <w:rPr>
                <w:bCs/>
              </w:rPr>
              <w:t xml:space="preserve">a creat </w:t>
            </w:r>
            <w:proofErr w:type="spellStart"/>
            <w:r w:rsidRPr="00CA1F0A">
              <w:rPr>
                <w:bCs/>
              </w:rPr>
              <w:t>dificultăţi</w:t>
            </w:r>
            <w:proofErr w:type="spellEnd"/>
            <w:r w:rsidR="003A50F0">
              <w:rPr>
                <w:bCs/>
              </w:rPr>
              <w:t xml:space="preserve"> de desfășurare a activității</w:t>
            </w:r>
            <w:r w:rsidRPr="00CA1F0A">
              <w:rPr>
                <w:bCs/>
              </w:rPr>
              <w:t>;</w:t>
            </w:r>
          </w:p>
          <w:p w:rsidR="00C63CD9" w:rsidRPr="00CA1F0A" w:rsidRDefault="00DE2A8E" w:rsidP="00537DEE">
            <w:pPr>
              <w:pStyle w:val="ListParagraph"/>
              <w:numPr>
                <w:ilvl w:val="0"/>
                <w:numId w:val="23"/>
              </w:numPr>
              <w:tabs>
                <w:tab w:val="left" w:pos="319"/>
              </w:tabs>
              <w:spacing w:after="0"/>
              <w:ind w:left="0" w:firstLine="0"/>
              <w:contextualSpacing w:val="0"/>
              <w:rPr>
                <w:lang w:eastAsia="pl-PL"/>
              </w:rPr>
            </w:pPr>
            <w:r w:rsidRPr="00CA1F0A">
              <w:t>numirea agenților și ofițerilor de poliție judiciară și a specialiștilor în cadrul SIIJ s</w:t>
            </w:r>
            <w:r w:rsidR="003A50F0">
              <w:t xml:space="preserve">-a efectuat </w:t>
            </w:r>
            <w:r w:rsidRPr="00CA1F0A">
              <w:t xml:space="preserve">de către procurorul șef de secție (structură fără personalitate juridică), deși numirea/detașarea acestora ar trebui să se dispună de </w:t>
            </w:r>
            <w:r w:rsidR="00C63CD9" w:rsidRPr="00CA1F0A">
              <w:t xml:space="preserve">conducătorul </w:t>
            </w:r>
            <w:proofErr w:type="spellStart"/>
            <w:r w:rsidR="00C63CD9" w:rsidRPr="00CA1F0A">
              <w:t>instituţiei</w:t>
            </w:r>
            <w:proofErr w:type="spellEnd"/>
            <w:r w:rsidR="00C63CD9" w:rsidRPr="00CA1F0A">
              <w:t>.</w:t>
            </w:r>
          </w:p>
          <w:p w:rsidR="0094494F" w:rsidRPr="00CA1F0A" w:rsidRDefault="003A50F0" w:rsidP="00537DEE">
            <w:pPr>
              <w:pStyle w:val="ListParagraph"/>
              <w:tabs>
                <w:tab w:val="left" w:pos="319"/>
              </w:tabs>
              <w:spacing w:after="0"/>
              <w:ind w:left="0"/>
              <w:contextualSpacing w:val="0"/>
              <w:rPr>
                <w:bCs/>
              </w:rPr>
            </w:pPr>
            <w:r>
              <w:rPr>
                <w:shd w:val="clear" w:color="auto" w:fill="FFFFFF"/>
              </w:rPr>
              <w:t>Totodată, î</w:t>
            </w:r>
            <w:r w:rsidR="0094494F" w:rsidRPr="00CA1F0A">
              <w:rPr>
                <w:shd w:val="clear" w:color="auto" w:fill="FFFFFF"/>
              </w:rPr>
              <w:t xml:space="preserve">n data de 25 noiembrie 2019, Ministerul Justiției a solicitat instanțelor judecătorești, parchetelor de pe lângă acestea, precum și asociațiilor magistraților exprimarea unor puncte de vedere în legătură cu o serie de modificări legislative preconizate cu referire la legile </w:t>
            </w:r>
            <w:r w:rsidR="0094494F" w:rsidRPr="00CA1F0A">
              <w:rPr>
                <w:shd w:val="clear" w:color="auto" w:fill="FFFFFF"/>
              </w:rPr>
              <w:lastRenderedPageBreak/>
              <w:t>justiției, inclusiv cu privire la Secția pentru Investigarea Infracțiunilor din Justiție</w:t>
            </w:r>
            <w:r w:rsidR="0094494F" w:rsidRPr="00871004">
              <w:rPr>
                <w:shd w:val="clear" w:color="auto" w:fill="FFFFFF"/>
              </w:rPr>
              <w:t xml:space="preserve">.  În urma centralizării punctelor de vedere ale instanțelor și parchetelor, a rezultat faptul că </w:t>
            </w:r>
            <w:r w:rsidR="0094494F" w:rsidRPr="00871004">
              <w:rPr>
                <w:rStyle w:val="Strong"/>
                <w:b w:val="0"/>
              </w:rPr>
              <w:t>85,47</w:t>
            </w:r>
            <w:r w:rsidR="0094494F" w:rsidRPr="00871004">
              <w:rPr>
                <w:b/>
              </w:rPr>
              <w:t>%</w:t>
            </w:r>
            <w:r w:rsidR="0094494F" w:rsidRPr="00871004">
              <w:t xml:space="preserve"> din procurorii respondenți și </w:t>
            </w:r>
            <w:r w:rsidR="0094494F" w:rsidRPr="00871004">
              <w:rPr>
                <w:rStyle w:val="Strong"/>
                <w:b w:val="0"/>
                <w:shd w:val="clear" w:color="auto" w:fill="FFFFFF"/>
              </w:rPr>
              <w:t>72,22%</w:t>
            </w:r>
            <w:r w:rsidR="0094494F" w:rsidRPr="00871004">
              <w:rPr>
                <w:shd w:val="clear" w:color="auto" w:fill="FFFFFF"/>
              </w:rPr>
              <w:t> </w:t>
            </w:r>
            <w:r w:rsidR="0094494F" w:rsidRPr="00871004">
              <w:t xml:space="preserve"> din judecătorii respondenți au opinat în sensul abrogării prevederilor privind Secția.</w:t>
            </w:r>
            <w:r w:rsidR="0094494F" w:rsidRPr="00CA1F0A">
              <w:t xml:space="preserve"> </w:t>
            </w:r>
          </w:p>
          <w:p w:rsidR="00CA1F0A" w:rsidRPr="00CA1F0A" w:rsidRDefault="0094494F" w:rsidP="00537DEE">
            <w:pPr>
              <w:tabs>
                <w:tab w:val="left" w:pos="177"/>
              </w:tabs>
              <w:autoSpaceDE w:val="0"/>
              <w:autoSpaceDN w:val="0"/>
              <w:adjustRightInd w:val="0"/>
              <w:spacing w:after="0"/>
              <w:ind w:left="0"/>
            </w:pPr>
            <w:r w:rsidRPr="000E1E17">
              <w:t xml:space="preserve">Cu toate acestea, punctele de vedere exprimate, inclusiv în </w:t>
            </w:r>
            <w:proofErr w:type="spellStart"/>
            <w:r w:rsidRPr="000E1E17">
              <w:t>spaţiul</w:t>
            </w:r>
            <w:proofErr w:type="spellEnd"/>
            <w:r w:rsidRPr="000E1E17">
              <w:t xml:space="preserve"> public, în perioada de la momentul operaţionalizării SIIJ și până în prezent de către instituțiile din cadrul autorității judecătorești ori de către </w:t>
            </w:r>
            <w:proofErr w:type="spellStart"/>
            <w:r w:rsidRPr="000E1E17">
              <w:t>reprezentanţii</w:t>
            </w:r>
            <w:proofErr w:type="spellEnd"/>
            <w:r w:rsidRPr="000E1E17">
              <w:t xml:space="preserve"> </w:t>
            </w:r>
            <w:proofErr w:type="spellStart"/>
            <w:r w:rsidRPr="000E1E17">
              <w:t>asociaţiilor</w:t>
            </w:r>
            <w:proofErr w:type="spellEnd"/>
            <w:r w:rsidRPr="000E1E17">
              <w:t xml:space="preserve"> </w:t>
            </w:r>
            <w:proofErr w:type="spellStart"/>
            <w:r w:rsidRPr="000E1E17">
              <w:t>magistraţilor</w:t>
            </w:r>
            <w:proofErr w:type="spellEnd"/>
            <w:r w:rsidRPr="000E1E17">
              <w:t xml:space="preserve"> nu au fost unitare, existând două curente divergente de opinie: unul în sensul </w:t>
            </w:r>
            <w:proofErr w:type="spellStart"/>
            <w:r w:rsidRPr="000E1E17">
              <w:t>menţinerii</w:t>
            </w:r>
            <w:proofErr w:type="spellEnd"/>
            <w:r w:rsidRPr="000E1E17">
              <w:t xml:space="preserve"> SIIJ, iar celălalt în sensul </w:t>
            </w:r>
            <w:proofErr w:type="spellStart"/>
            <w:r w:rsidRPr="000E1E17">
              <w:t>desfiinţării</w:t>
            </w:r>
            <w:proofErr w:type="spellEnd"/>
            <w:r w:rsidRPr="000E1E17">
              <w:t xml:space="preserve"> SIIJ.</w:t>
            </w:r>
          </w:p>
          <w:p w:rsidR="0094494F" w:rsidRPr="00CA1F0A" w:rsidRDefault="0094494F" w:rsidP="00537DEE">
            <w:pPr>
              <w:tabs>
                <w:tab w:val="left" w:pos="177"/>
              </w:tabs>
              <w:autoSpaceDE w:val="0"/>
              <w:autoSpaceDN w:val="0"/>
              <w:adjustRightInd w:val="0"/>
              <w:spacing w:after="0"/>
              <w:ind w:left="0"/>
            </w:pPr>
            <w:r w:rsidRPr="00CA1F0A">
              <w:t xml:space="preserve">De asemenea, în jurisprudența </w:t>
            </w:r>
            <w:proofErr w:type="spellStart"/>
            <w:r w:rsidRPr="00CA1F0A">
              <w:t>Curţii</w:t>
            </w:r>
            <w:proofErr w:type="spellEnd"/>
            <w:r w:rsidRPr="00CA1F0A">
              <w:t xml:space="preserve"> </w:t>
            </w:r>
            <w:proofErr w:type="spellStart"/>
            <w:r w:rsidRPr="00CA1F0A">
              <w:t>Constituţionale</w:t>
            </w:r>
            <w:proofErr w:type="spellEnd"/>
            <w:r w:rsidRPr="00CA1F0A">
              <w:t xml:space="preserve"> s-a reținut</w:t>
            </w:r>
            <w:r w:rsidR="00B01131">
              <w:t>:</w:t>
            </w:r>
            <w:r w:rsidRPr="00CA1F0A">
              <w:t xml:space="preserve"> „</w:t>
            </w:r>
            <w:r w:rsidRPr="00CA1F0A">
              <w:rPr>
                <w:i/>
              </w:rPr>
              <w:t xml:space="preserve">chiar dacă în expunerea de motive care a </w:t>
            </w:r>
            <w:proofErr w:type="spellStart"/>
            <w:r w:rsidRPr="00CA1F0A">
              <w:rPr>
                <w:i/>
              </w:rPr>
              <w:t>însoţit</w:t>
            </w:r>
            <w:proofErr w:type="spellEnd"/>
            <w:r w:rsidRPr="00CA1F0A">
              <w:rPr>
                <w:i/>
              </w:rPr>
              <w:t xml:space="preserve"> legea prin care a fost </w:t>
            </w:r>
            <w:proofErr w:type="spellStart"/>
            <w:r w:rsidRPr="00CA1F0A">
              <w:rPr>
                <w:i/>
              </w:rPr>
              <w:t>înfiinţată</w:t>
            </w:r>
            <w:proofErr w:type="spellEnd"/>
            <w:r w:rsidRPr="00CA1F0A">
              <w:rPr>
                <w:i/>
              </w:rPr>
              <w:t xml:space="preserve"> S.I.I.J. nu au fost </w:t>
            </w:r>
            <w:proofErr w:type="spellStart"/>
            <w:r w:rsidRPr="00CA1F0A">
              <w:rPr>
                <w:i/>
              </w:rPr>
              <w:t>menţionate</w:t>
            </w:r>
            <w:proofErr w:type="spellEnd"/>
            <w:r w:rsidRPr="00CA1F0A">
              <w:rPr>
                <w:i/>
              </w:rPr>
              <w:t xml:space="preserve"> "imperativele obiective </w:t>
            </w:r>
            <w:proofErr w:type="spellStart"/>
            <w:r w:rsidRPr="00CA1F0A">
              <w:rPr>
                <w:i/>
              </w:rPr>
              <w:t>şi</w:t>
            </w:r>
            <w:proofErr w:type="spellEnd"/>
            <w:r w:rsidRPr="00CA1F0A">
              <w:rPr>
                <w:i/>
              </w:rPr>
              <w:t xml:space="preserve"> verificabile" care au impus adoptarea acestei reglementări, </w:t>
            </w:r>
            <w:r w:rsidRPr="00CA1F0A">
              <w:rPr>
                <w:bCs/>
                <w:i/>
              </w:rPr>
              <w:t xml:space="preserve">Curtea </w:t>
            </w:r>
            <w:proofErr w:type="spellStart"/>
            <w:r w:rsidRPr="00CA1F0A">
              <w:rPr>
                <w:bCs/>
                <w:i/>
              </w:rPr>
              <w:t>Constituţională</w:t>
            </w:r>
            <w:proofErr w:type="spellEnd"/>
            <w:r w:rsidRPr="00CA1F0A">
              <w:rPr>
                <w:bCs/>
                <w:i/>
              </w:rPr>
              <w:t xml:space="preserve"> constată că din </w:t>
            </w:r>
            <w:proofErr w:type="spellStart"/>
            <w:r w:rsidRPr="00CA1F0A">
              <w:rPr>
                <w:bCs/>
                <w:i/>
              </w:rPr>
              <w:t>conţinutul</w:t>
            </w:r>
            <w:proofErr w:type="spellEnd"/>
            <w:r w:rsidRPr="00CA1F0A">
              <w:rPr>
                <w:bCs/>
                <w:i/>
              </w:rPr>
              <w:t xml:space="preserve"> normativ al legii rezultă aspectele ce vizează "buna administrare a </w:t>
            </w:r>
            <w:proofErr w:type="spellStart"/>
            <w:r w:rsidRPr="00CA1F0A">
              <w:rPr>
                <w:bCs/>
                <w:i/>
              </w:rPr>
              <w:t>justiţiei</w:t>
            </w:r>
            <w:proofErr w:type="spellEnd"/>
            <w:r w:rsidRPr="00CA1F0A">
              <w:rPr>
                <w:bCs/>
                <w:i/>
              </w:rPr>
              <w:t xml:space="preserve">": pe de o parte, crearea unei structuri specializate de investigare care să asigure o practică unitară cu privire la efectuarea actelor de urmărire penală pentru </w:t>
            </w:r>
            <w:proofErr w:type="spellStart"/>
            <w:r w:rsidRPr="00CA1F0A">
              <w:rPr>
                <w:bCs/>
                <w:i/>
              </w:rPr>
              <w:t>infracţiunile</w:t>
            </w:r>
            <w:proofErr w:type="spellEnd"/>
            <w:r w:rsidRPr="00CA1F0A">
              <w:rPr>
                <w:bCs/>
                <w:i/>
              </w:rPr>
              <w:t xml:space="preserve"> </w:t>
            </w:r>
            <w:proofErr w:type="spellStart"/>
            <w:r w:rsidRPr="00CA1F0A">
              <w:rPr>
                <w:bCs/>
                <w:i/>
              </w:rPr>
              <w:t>săvârşite</w:t>
            </w:r>
            <w:proofErr w:type="spellEnd"/>
            <w:r w:rsidRPr="00CA1F0A">
              <w:rPr>
                <w:bCs/>
                <w:i/>
              </w:rPr>
              <w:t xml:space="preserve"> de </w:t>
            </w:r>
            <w:proofErr w:type="spellStart"/>
            <w:r w:rsidRPr="00CA1F0A">
              <w:rPr>
                <w:bCs/>
                <w:i/>
              </w:rPr>
              <w:t>magistraţi</w:t>
            </w:r>
            <w:proofErr w:type="spellEnd"/>
            <w:r w:rsidRPr="00CA1F0A">
              <w:rPr>
                <w:bCs/>
                <w:i/>
              </w:rPr>
              <w:t xml:space="preserve"> </w:t>
            </w:r>
            <w:proofErr w:type="spellStart"/>
            <w:r w:rsidRPr="00CA1F0A">
              <w:rPr>
                <w:bCs/>
                <w:i/>
              </w:rPr>
              <w:t>şi</w:t>
            </w:r>
            <w:proofErr w:type="spellEnd"/>
            <w:r w:rsidRPr="00CA1F0A">
              <w:rPr>
                <w:bCs/>
                <w:i/>
              </w:rPr>
              <w:t xml:space="preserve">, pe de altă parte, reglementarea unei forme adecvate de </w:t>
            </w:r>
            <w:proofErr w:type="spellStart"/>
            <w:r w:rsidRPr="00CA1F0A">
              <w:rPr>
                <w:bCs/>
                <w:i/>
              </w:rPr>
              <w:t>protecţie</w:t>
            </w:r>
            <w:proofErr w:type="spellEnd"/>
            <w:r w:rsidRPr="00CA1F0A">
              <w:rPr>
                <w:bCs/>
                <w:i/>
              </w:rPr>
              <w:t xml:space="preserve"> a </w:t>
            </w:r>
            <w:proofErr w:type="spellStart"/>
            <w:r w:rsidRPr="00CA1F0A">
              <w:rPr>
                <w:bCs/>
                <w:i/>
              </w:rPr>
              <w:t>magistraţilor</w:t>
            </w:r>
            <w:proofErr w:type="spellEnd"/>
            <w:r w:rsidRPr="00CA1F0A">
              <w:rPr>
                <w:bCs/>
                <w:i/>
              </w:rPr>
              <w:t xml:space="preserve"> împotriva presiunilor exercitate asupra lor prin sesizări/</w:t>
            </w:r>
            <w:proofErr w:type="spellStart"/>
            <w:r w:rsidRPr="00CA1F0A">
              <w:rPr>
                <w:bCs/>
                <w:i/>
              </w:rPr>
              <w:t>denunţuri</w:t>
            </w:r>
            <w:proofErr w:type="spellEnd"/>
            <w:r w:rsidRPr="00CA1F0A">
              <w:rPr>
                <w:bCs/>
                <w:i/>
              </w:rPr>
              <w:t xml:space="preserve"> arbitrare. (…) reglementarea care prevede </w:t>
            </w:r>
            <w:proofErr w:type="spellStart"/>
            <w:r w:rsidRPr="00CA1F0A">
              <w:rPr>
                <w:bCs/>
                <w:i/>
              </w:rPr>
              <w:t>înfiinţarea</w:t>
            </w:r>
            <w:proofErr w:type="spellEnd"/>
            <w:r w:rsidRPr="00CA1F0A">
              <w:rPr>
                <w:bCs/>
                <w:i/>
              </w:rPr>
              <w:t xml:space="preserve"> S.I.I.J. reprezintă o </w:t>
            </w:r>
            <w:proofErr w:type="spellStart"/>
            <w:r w:rsidRPr="00CA1F0A">
              <w:rPr>
                <w:bCs/>
                <w:i/>
              </w:rPr>
              <w:t>opţiune</w:t>
            </w:r>
            <w:proofErr w:type="spellEnd"/>
            <w:r w:rsidRPr="00CA1F0A">
              <w:rPr>
                <w:bCs/>
                <w:i/>
              </w:rPr>
              <w:t xml:space="preserve"> a legiuitorului </w:t>
            </w:r>
            <w:proofErr w:type="spellStart"/>
            <w:r w:rsidRPr="00CA1F0A">
              <w:rPr>
                <w:bCs/>
                <w:i/>
              </w:rPr>
              <w:t>naţional</w:t>
            </w:r>
            <w:proofErr w:type="spellEnd"/>
            <w:r w:rsidRPr="00CA1F0A">
              <w:rPr>
                <w:bCs/>
                <w:i/>
              </w:rPr>
              <w:t xml:space="preserve">, în acord cu prevederile </w:t>
            </w:r>
            <w:proofErr w:type="spellStart"/>
            <w:r w:rsidRPr="00CA1F0A">
              <w:rPr>
                <w:bCs/>
                <w:i/>
              </w:rPr>
              <w:t>constituţionale</w:t>
            </w:r>
            <w:proofErr w:type="spellEnd"/>
            <w:r w:rsidRPr="00CA1F0A">
              <w:rPr>
                <w:bCs/>
                <w:i/>
              </w:rPr>
              <w:t>(…)”</w:t>
            </w:r>
            <w:r w:rsidRPr="00CA1F0A">
              <w:rPr>
                <w:b/>
                <w:bCs/>
              </w:rPr>
              <w:t xml:space="preserve"> (</w:t>
            </w:r>
            <w:r w:rsidRPr="00CA1F0A">
              <w:rPr>
                <w:bCs/>
              </w:rPr>
              <w:t>Decizia nr. 390/2021</w:t>
            </w:r>
            <w:r w:rsidRPr="00CA1F0A">
              <w:rPr>
                <w:b/>
                <w:bCs/>
              </w:rPr>
              <w:t xml:space="preserve">, </w:t>
            </w:r>
            <w:r w:rsidRPr="00CA1F0A">
              <w:t>publicată în Monitorul Oficial al României nr. 612 din 22 iunie 2021).</w:t>
            </w:r>
          </w:p>
          <w:p w:rsidR="0094494F" w:rsidRPr="00CA1F0A" w:rsidRDefault="0094494F" w:rsidP="00537DEE">
            <w:pPr>
              <w:tabs>
                <w:tab w:val="left" w:pos="177"/>
              </w:tabs>
              <w:autoSpaceDE w:val="0"/>
              <w:autoSpaceDN w:val="0"/>
              <w:adjustRightInd w:val="0"/>
              <w:spacing w:after="0"/>
              <w:ind w:left="0"/>
            </w:pPr>
            <w:r w:rsidRPr="00CA1F0A">
              <w:t>Argumentele expuse anterior au îngreunat găsirea unei soluții legislative referitoare la SIIJ, soluție care să întrunească consensul instituțiilor din cadrul autorității judecătorești.</w:t>
            </w:r>
          </w:p>
          <w:p w:rsidR="00CA1F0A" w:rsidRPr="00CA1F0A" w:rsidRDefault="00CA1F0A" w:rsidP="00537DEE">
            <w:pPr>
              <w:tabs>
                <w:tab w:val="left" w:pos="177"/>
              </w:tabs>
              <w:autoSpaceDE w:val="0"/>
              <w:autoSpaceDN w:val="0"/>
              <w:adjustRightInd w:val="0"/>
              <w:spacing w:after="0"/>
              <w:ind w:left="0"/>
            </w:pPr>
          </w:p>
          <w:p w:rsidR="002F244C" w:rsidRDefault="007035D0" w:rsidP="00537DEE">
            <w:pPr>
              <w:pStyle w:val="ListParagraph"/>
              <w:tabs>
                <w:tab w:val="left" w:pos="319"/>
              </w:tabs>
              <w:spacing w:after="0"/>
              <w:ind w:left="0"/>
              <w:contextualSpacing w:val="0"/>
              <w:rPr>
                <w:lang w:eastAsia="pl-PL"/>
              </w:rPr>
            </w:pPr>
            <w:r w:rsidRPr="00CA1F0A">
              <w:t>II</w:t>
            </w:r>
            <w:r w:rsidR="00C77732" w:rsidRPr="00CA1F0A">
              <w:t xml:space="preserve">. </w:t>
            </w:r>
            <w:r w:rsidR="00710902" w:rsidRPr="00CA1F0A">
              <w:t xml:space="preserve">Cu privire la SIIJ și activitatea acesteia </w:t>
            </w:r>
            <w:r w:rsidR="00C77732" w:rsidRPr="00CA1F0A">
              <w:t xml:space="preserve">pot fi </w:t>
            </w:r>
            <w:proofErr w:type="spellStart"/>
            <w:r w:rsidR="00C77732" w:rsidRPr="00CA1F0A">
              <w:t>menţionate</w:t>
            </w:r>
            <w:proofErr w:type="spellEnd"/>
            <w:r w:rsidR="00C77732" w:rsidRPr="00CA1F0A">
              <w:t xml:space="preserve">  unele</w:t>
            </w:r>
            <w:r w:rsidR="00710902" w:rsidRPr="00CA1F0A">
              <w:t xml:space="preserve"> recomandări și </w:t>
            </w:r>
            <w:r w:rsidR="002F244C" w:rsidRPr="00CA1F0A">
              <w:rPr>
                <w:lang w:eastAsia="pl-PL"/>
              </w:rPr>
              <w:t xml:space="preserve">documente </w:t>
            </w:r>
            <w:r w:rsidR="00710902" w:rsidRPr="00CA1F0A">
              <w:rPr>
                <w:lang w:eastAsia="pl-PL"/>
              </w:rPr>
              <w:t xml:space="preserve">ale unor organizații sau instituții </w:t>
            </w:r>
            <w:r w:rsidR="002F244C" w:rsidRPr="00CA1F0A">
              <w:rPr>
                <w:lang w:eastAsia="pl-PL"/>
              </w:rPr>
              <w:t>europene</w:t>
            </w:r>
            <w:r w:rsidR="00710902" w:rsidRPr="00CA1F0A">
              <w:rPr>
                <w:lang w:eastAsia="pl-PL"/>
              </w:rPr>
              <w:t xml:space="preserve">, </w:t>
            </w:r>
            <w:r w:rsidR="00B47069" w:rsidRPr="00CA1F0A">
              <w:rPr>
                <w:lang w:eastAsia="pl-PL"/>
              </w:rPr>
              <w:t>după cu</w:t>
            </w:r>
            <w:r w:rsidR="00710902" w:rsidRPr="00CA1F0A">
              <w:rPr>
                <w:lang w:eastAsia="pl-PL"/>
              </w:rPr>
              <w:t>m</w:t>
            </w:r>
            <w:r w:rsidR="00B47069" w:rsidRPr="00CA1F0A">
              <w:rPr>
                <w:lang w:eastAsia="pl-PL"/>
              </w:rPr>
              <w:t xml:space="preserve"> urmează</w:t>
            </w:r>
            <w:r w:rsidR="002F244C" w:rsidRPr="00CA1F0A">
              <w:rPr>
                <w:lang w:eastAsia="pl-PL"/>
              </w:rPr>
              <w:t>:</w:t>
            </w:r>
          </w:p>
          <w:p w:rsidR="00B01131" w:rsidRPr="00CA1F0A" w:rsidRDefault="00B01131" w:rsidP="00537DEE">
            <w:pPr>
              <w:pStyle w:val="ListParagraph"/>
              <w:tabs>
                <w:tab w:val="left" w:pos="319"/>
              </w:tabs>
              <w:spacing w:after="0"/>
              <w:ind w:left="0"/>
              <w:contextualSpacing w:val="0"/>
              <w:rPr>
                <w:lang w:eastAsia="pl-PL"/>
              </w:rPr>
            </w:pPr>
          </w:p>
          <w:p w:rsidR="003A50F0" w:rsidRPr="00CA1F0A" w:rsidRDefault="002F244C" w:rsidP="00537DEE">
            <w:pPr>
              <w:tabs>
                <w:tab w:val="left" w:pos="319"/>
              </w:tabs>
              <w:spacing w:after="0"/>
              <w:ind w:left="0"/>
              <w:rPr>
                <w:bCs/>
              </w:rPr>
            </w:pPr>
            <w:r w:rsidRPr="00CA1F0A">
              <w:rPr>
                <w:lang w:eastAsia="pl-PL"/>
              </w:rPr>
              <w:t xml:space="preserve">1. </w:t>
            </w:r>
            <w:r w:rsidR="003A50F0" w:rsidRPr="00CA1F0A">
              <w:rPr>
                <w:bCs/>
              </w:rPr>
              <w:t>Rapoartele MCV</w:t>
            </w:r>
          </w:p>
          <w:p w:rsidR="003A50F0" w:rsidRPr="00CA1F0A" w:rsidRDefault="003A50F0" w:rsidP="00537DEE">
            <w:pPr>
              <w:tabs>
                <w:tab w:val="left" w:pos="319"/>
              </w:tabs>
              <w:spacing w:after="0"/>
              <w:ind w:left="0"/>
            </w:pPr>
            <w:r w:rsidRPr="00CA1F0A">
              <w:t xml:space="preserve">Concluzia Raportului Comisiei către Parlamentul European și Consiliu privind progresele înregistrate de România în cadrul mecanismului de cooperare și verificare din 22 octombrie 2019 cu privire la recomandarea legată de Secția pentru investigarea infracțiunilor din justiție este că „aceste recomandări nu au fost puse în aplicare de autoritățile române, care au invocat și argumentul că legile justiției produceau efecte juridice care nu puteau fi oprite”. </w:t>
            </w:r>
          </w:p>
          <w:p w:rsidR="003A50F0" w:rsidRPr="00CA1F0A" w:rsidRDefault="003A50F0" w:rsidP="00537DEE">
            <w:pPr>
              <w:tabs>
                <w:tab w:val="left" w:pos="319"/>
              </w:tabs>
              <w:spacing w:after="0"/>
              <w:ind w:left="0"/>
              <w:rPr>
                <w:i/>
              </w:rPr>
            </w:pPr>
            <w:r w:rsidRPr="00CA1F0A">
              <w:lastRenderedPageBreak/>
              <w:t>În evaluările Comisiei Europene s-au reținut următoarele: „</w:t>
            </w:r>
            <w:r w:rsidRPr="00CA1F0A">
              <w:rPr>
                <w:i/>
              </w:rPr>
              <w:t>Modificările legate de accelerarea înființării Secției speciale pentru anchetarea magistraților și extinderea competenței sale (…) au alimentat și mai mult sursele de îngrijorare și lipsa de încredere în aceste modificări.</w:t>
            </w:r>
            <w:r w:rsidRPr="00CA1F0A">
              <w:rPr>
                <w:rStyle w:val="FootnoteReference"/>
                <w:i/>
              </w:rPr>
              <w:t xml:space="preserve"> </w:t>
            </w:r>
            <w:r w:rsidRPr="00CA1F0A">
              <w:rPr>
                <w:i/>
              </w:rPr>
              <w:t>În special, unele dintre modificările propuse ale legilor păreau să servească intereselor anumitor persoane. Aceste ordonanțe de urgență au stârnit reacții extrem de negative, care au contribuit la cristalizarea poziției specifice exprimate de populație în cadrul referendumului din 26 mai 2019 cu privire la modificarea legilor justiției prin ordonanțe de urgență.</w:t>
            </w:r>
            <w:r w:rsidRPr="00CA1F0A">
              <w:rPr>
                <w:rStyle w:val="FootnoteReference"/>
                <w:i/>
              </w:rPr>
              <w:t xml:space="preserve"> </w:t>
            </w:r>
          </w:p>
          <w:p w:rsidR="003A50F0" w:rsidRPr="00CA1F0A" w:rsidRDefault="003A50F0" w:rsidP="00537DEE">
            <w:pPr>
              <w:tabs>
                <w:tab w:val="left" w:pos="319"/>
              </w:tabs>
              <w:spacing w:after="0"/>
              <w:ind w:left="0"/>
              <w:rPr>
                <w:i/>
              </w:rPr>
            </w:pPr>
            <w:r w:rsidRPr="00CA1F0A">
              <w:rPr>
                <w:i/>
              </w:rPr>
              <w:t>Punerea în aplicare a legilor justiției modificate a confirmat, de asemenea, preocupările exprimate în raportul din noiembrie cu privire la prejudiciile aduse sistemului judiciar. În particular, funcționarea Secției speciale pentru anchetarea magistraților a confirmat temerile exprimate atât în România, cât și în exterior că secția respectivă ar putea fi utilizată ca instrument de presiune politică. Au existat mai multe situații în care Secția specială a intervenit pentru a schimba cursul anchetelor penale într-un mod care ridică îndoieli serioase cu privire la obiectivitatea sa. Printre aceste situații se numără și cazurile în care Secția specială a inițiat anchete împotriva judecătorilor și a procurorilor care s-au opus modificărilor actuale ale sistemului judiciar, precum și modificările bruște ale abordării adoptate în cauzele aflate pe rolul instanțelor, de exemplu retragerea căilor de atac introduse anterior de DNA în dosarele de corupție la nivel înalt. Numirile în funcțiile de conducere din Secția specială au stârnit, la rândul lor, polemici. Pe fondul acestora, numeroase voci din România au cerut desființarea Secției speciale.</w:t>
            </w:r>
          </w:p>
          <w:p w:rsidR="003A50F0" w:rsidRPr="00CA1F0A" w:rsidRDefault="003A50F0" w:rsidP="00537DEE">
            <w:pPr>
              <w:tabs>
                <w:tab w:val="left" w:pos="319"/>
              </w:tabs>
              <w:spacing w:after="0"/>
              <w:ind w:left="0"/>
            </w:pPr>
            <w:r w:rsidRPr="00CA1F0A">
              <w:rPr>
                <w:i/>
              </w:rPr>
              <w:t>Comisia de la Veneția a adoptat un aviz cu privire la ordonanțele de urgență în iunie 2019, în care confirma îngrijorarea crescândă suscitată de noile modificări și de funcționarea Secției speciale. În cele două noi rapoarte din iunie 2019, GRECO a exprimat preocupări similare</w:t>
            </w:r>
            <w:r w:rsidRPr="00CA1F0A">
              <w:t>.” (Raportul MCV din octombrie 2019, pag. 5-6, obiectivul de referință nr. 1).</w:t>
            </w:r>
          </w:p>
          <w:p w:rsidR="003A50F0" w:rsidRPr="00CA1F0A" w:rsidRDefault="003A50F0" w:rsidP="00537DEE">
            <w:pPr>
              <w:tabs>
                <w:tab w:val="left" w:pos="319"/>
              </w:tabs>
              <w:spacing w:after="0"/>
              <w:ind w:left="0"/>
            </w:pPr>
            <w:r w:rsidRPr="00CA1F0A">
              <w:t>Potrivit Raportului din 2020 – Capitolul consacrat statului de drept din România al Comisiei Europene (</w:t>
            </w:r>
            <w:hyperlink r:id="rId8" w:history="1">
              <w:r w:rsidRPr="00CA1F0A">
                <w:rPr>
                  <w:rStyle w:val="Hyperlink"/>
                </w:rPr>
                <w:t>https://eur-lex.europa.eu/legal-content/RO/TXT/?qid=1602582109481&amp;uri=CELEX%3A52020SC0322</w:t>
              </w:r>
            </w:hyperlink>
            <w:r w:rsidRPr="00CA1F0A">
              <w:t xml:space="preserve">), continuarea </w:t>
            </w:r>
            <w:proofErr w:type="spellStart"/>
            <w:r w:rsidRPr="00CA1F0A">
              <w:t>activităţii</w:t>
            </w:r>
            <w:proofErr w:type="spellEnd"/>
            <w:r w:rsidRPr="00CA1F0A">
              <w:t xml:space="preserve"> </w:t>
            </w:r>
            <w:proofErr w:type="spellStart"/>
            <w:r w:rsidRPr="00CA1F0A">
              <w:t>Secţiei</w:t>
            </w:r>
            <w:proofErr w:type="spellEnd"/>
            <w:r w:rsidRPr="00CA1F0A">
              <w:t xml:space="preserve"> poate afecta </w:t>
            </w:r>
            <w:proofErr w:type="spellStart"/>
            <w:r w:rsidRPr="00CA1F0A">
              <w:t>independenţa</w:t>
            </w:r>
            <w:proofErr w:type="spellEnd"/>
            <w:r w:rsidRPr="00CA1F0A">
              <w:t xml:space="preserve"> </w:t>
            </w:r>
            <w:proofErr w:type="spellStart"/>
            <w:r w:rsidRPr="00CA1F0A">
              <w:t>justiţiei</w:t>
            </w:r>
            <w:proofErr w:type="spellEnd"/>
            <w:r w:rsidRPr="00CA1F0A">
              <w:t xml:space="preserve"> </w:t>
            </w:r>
            <w:proofErr w:type="spellStart"/>
            <w:r w:rsidRPr="00CA1F0A">
              <w:t>şi</w:t>
            </w:r>
            <w:proofErr w:type="spellEnd"/>
            <w:r w:rsidRPr="00CA1F0A">
              <w:t xml:space="preserve"> implicit </w:t>
            </w:r>
            <w:proofErr w:type="spellStart"/>
            <w:r w:rsidRPr="00CA1F0A">
              <w:t>protecţia</w:t>
            </w:r>
            <w:proofErr w:type="spellEnd"/>
            <w:r w:rsidRPr="00CA1F0A">
              <w:t xml:space="preserve"> drepturilor </w:t>
            </w:r>
            <w:proofErr w:type="spellStart"/>
            <w:r w:rsidRPr="00CA1F0A">
              <w:t>şi</w:t>
            </w:r>
            <w:proofErr w:type="spellEnd"/>
            <w:r w:rsidRPr="00CA1F0A">
              <w:t xml:space="preserve"> </w:t>
            </w:r>
            <w:proofErr w:type="spellStart"/>
            <w:r w:rsidRPr="00CA1F0A">
              <w:t>libertăţilor</w:t>
            </w:r>
            <w:proofErr w:type="spellEnd"/>
            <w:r w:rsidRPr="00CA1F0A">
              <w:t xml:space="preserve"> </w:t>
            </w:r>
            <w:proofErr w:type="spellStart"/>
            <w:r w:rsidRPr="00CA1F0A">
              <w:t>cetăţenilor</w:t>
            </w:r>
            <w:proofErr w:type="spellEnd"/>
            <w:r w:rsidRPr="00CA1F0A">
              <w:t xml:space="preserve">, persistând „temerea că </w:t>
            </w:r>
            <w:proofErr w:type="spellStart"/>
            <w:r w:rsidRPr="00CA1F0A">
              <w:t>secţia</w:t>
            </w:r>
            <w:proofErr w:type="spellEnd"/>
            <w:r w:rsidRPr="00CA1F0A">
              <w:t xml:space="preserve"> ar putea fi utilizată ca instrument prin care să se exercite presiuni asupra </w:t>
            </w:r>
            <w:proofErr w:type="spellStart"/>
            <w:r w:rsidRPr="00CA1F0A">
              <w:t>magistraţilor</w:t>
            </w:r>
            <w:proofErr w:type="spellEnd"/>
            <w:r w:rsidRPr="00CA1F0A">
              <w:t>”.</w:t>
            </w:r>
          </w:p>
          <w:p w:rsidR="003A50F0" w:rsidRPr="00CA1F0A" w:rsidRDefault="003A50F0" w:rsidP="00537DEE">
            <w:pPr>
              <w:tabs>
                <w:tab w:val="left" w:pos="319"/>
              </w:tabs>
              <w:spacing w:after="0"/>
              <w:ind w:left="0"/>
            </w:pPr>
            <w:r w:rsidRPr="00CA1F0A">
              <w:lastRenderedPageBreak/>
              <w:t xml:space="preserve">În Raportul Comisiei către Parlamentul European și Consiliu privind progresele înregistrate de România în cadrul Mecanismului de cooperare și verificare pe anul 2021, Comisia Europeană a </w:t>
            </w:r>
            <w:proofErr w:type="spellStart"/>
            <w:r w:rsidRPr="00CA1F0A">
              <w:t>reţinut</w:t>
            </w:r>
            <w:proofErr w:type="spellEnd"/>
            <w:r w:rsidRPr="00CA1F0A">
              <w:t xml:space="preserve"> că „</w:t>
            </w:r>
            <w:r w:rsidRPr="00CA1F0A">
              <w:rPr>
                <w:i/>
              </w:rPr>
              <w:t>în hotărârea sa din 18 mai 2021, CJUE a declarat că, pentru a fi compatibilă cu dreptul Uniunii, legislația prin care se înființează o astfel de secție specializată trebuie să fie justificată de imperative obiective și verificabile legate de buna administrare a justiției și să se asigure faptul că această secție nu poate fi utilizată ca instrument de control politic al activității judecătorilor și procurorilor și că secția își exercită competența în conformitate cu cerințele Cartei drepturilor fundamentale. În cazul în care nu îndeplinesc cerințele respective, aceste norme legislative ar putea fi percepute ca urmărind instituirea unui instrument de presiune și de intimidare a judecătorilor, care ar aduce atingere încrederii</w:t>
            </w:r>
            <w:r w:rsidRPr="00CA1F0A">
              <w:t xml:space="preserve"> </w:t>
            </w:r>
            <w:r w:rsidRPr="00CA1F0A">
              <w:rPr>
                <w:i/>
              </w:rPr>
              <w:t>justițiabililor în justiție</w:t>
            </w:r>
            <w:r w:rsidRPr="00CA1F0A">
              <w:rPr>
                <w:i/>
                <w:vertAlign w:val="superscript"/>
              </w:rPr>
              <w:footnoteReference w:id="2"/>
            </w:r>
            <w:r w:rsidRPr="00CA1F0A">
              <w:rPr>
                <w:i/>
              </w:rPr>
              <w:t>. CJUE adaugă că normele legislative naționale în cauză nu pot avea ca efect ignorarea obligațiilor specifice care îi revin României în temeiul Deciziei privind MCV în domeniul luptei împotriva corupției</w:t>
            </w:r>
            <w:r w:rsidRPr="00CA1F0A">
              <w:t>.</w:t>
            </w:r>
            <w:r w:rsidR="00237931">
              <w:t xml:space="preserve"> </w:t>
            </w:r>
            <w:r w:rsidRPr="00CA1F0A">
              <w:t xml:space="preserve">(…) </w:t>
            </w:r>
            <w:r w:rsidRPr="00CA1F0A">
              <w:rPr>
                <w:i/>
              </w:rPr>
              <w:t>CSM a emis un aviz negativ, argumentând că sunt necesare garanții suplimentare pentru a proteja magistrații de anchetele de corupție potențial abuzive</w:t>
            </w:r>
            <w:r w:rsidRPr="00CA1F0A">
              <w:t xml:space="preserve"> (…).</w:t>
            </w:r>
            <w:r w:rsidRPr="00CA1F0A">
              <w:rPr>
                <w:i/>
              </w:rPr>
              <w:t>Parlamentul nu a fost de acord cu solicitarea guvernului de adoptare printr-o procedură de urgență</w:t>
            </w:r>
            <w:r w:rsidRPr="00CA1F0A">
              <w:t>(…)”.</w:t>
            </w:r>
          </w:p>
          <w:p w:rsidR="002F244C" w:rsidRPr="00CA1F0A" w:rsidRDefault="002F244C" w:rsidP="00537DEE">
            <w:pPr>
              <w:tabs>
                <w:tab w:val="left" w:pos="319"/>
              </w:tabs>
              <w:spacing w:after="0"/>
              <w:ind w:left="0"/>
              <w:rPr>
                <w:bCs/>
              </w:rPr>
            </w:pPr>
            <w:r w:rsidRPr="00CA1F0A">
              <w:t xml:space="preserve">2. </w:t>
            </w:r>
            <w:r w:rsidRPr="00CA1F0A">
              <w:rPr>
                <w:rFonts w:cs="Tahoma"/>
              </w:rPr>
              <w:t xml:space="preserve">Comisia Europeană pentru </w:t>
            </w:r>
            <w:r w:rsidR="00270281" w:rsidRPr="00CA1F0A">
              <w:rPr>
                <w:rFonts w:cs="Tahoma"/>
              </w:rPr>
              <w:t>Democrație</w:t>
            </w:r>
            <w:r w:rsidRPr="00CA1F0A">
              <w:rPr>
                <w:rFonts w:cs="Tahoma"/>
              </w:rPr>
              <w:t xml:space="preserve"> prin Drept a Consiliului Europei (</w:t>
            </w:r>
            <w:r w:rsidRPr="00CA1F0A">
              <w:t>Comisia de la Veneția)</w:t>
            </w:r>
          </w:p>
          <w:p w:rsidR="002F244C" w:rsidRPr="00CA1F0A" w:rsidRDefault="002F244C" w:rsidP="00537DEE">
            <w:pPr>
              <w:tabs>
                <w:tab w:val="left" w:pos="319"/>
              </w:tabs>
              <w:spacing w:after="0"/>
              <w:ind w:left="0"/>
              <w:rPr>
                <w:bCs/>
              </w:rPr>
            </w:pPr>
            <w:r w:rsidRPr="00CA1F0A">
              <w:rPr>
                <w:bCs/>
              </w:rPr>
              <w:t xml:space="preserve">În Opinia nr. </w:t>
            </w:r>
            <w:r w:rsidRPr="00CA1F0A">
              <w:t xml:space="preserve">924/2018, </w:t>
            </w:r>
            <w:r w:rsidRPr="00CA1F0A">
              <w:rPr>
                <w:bCs/>
              </w:rPr>
              <w:t xml:space="preserve">Comisia de la Veneția a recomandat României să reconsidere stabilirea unei structuri separate de parchet pentru investigarea infracțiunilor comise de judecători și procurori; recurgerea la procurori specializați, însoțită de garanții procesuale efective, ar putea apărea ca o soluție alternativă mai potrivită.  </w:t>
            </w:r>
          </w:p>
          <w:p w:rsidR="002F244C" w:rsidRPr="00CA1F0A" w:rsidRDefault="002F244C" w:rsidP="00537DEE">
            <w:pPr>
              <w:tabs>
                <w:tab w:val="left" w:pos="319"/>
              </w:tabs>
              <w:spacing w:after="0"/>
              <w:ind w:left="0"/>
            </w:pPr>
            <w:r w:rsidRPr="00CA1F0A">
              <w:t xml:space="preserve">În considerentul nr. 89 din Opinie, se afirmă că </w:t>
            </w:r>
            <w:r w:rsidR="00874452" w:rsidRPr="00CA1F0A">
              <w:t>„</w:t>
            </w:r>
            <w:r w:rsidRPr="00CA1F0A">
              <w:t>în aceste împrejurări, cu toate că alegerea mijloacelor de combatere a infracționalității aparține legiuitorului național, temerile existente că noua structura va fi (încă) un instrument de intimidare și presiune la adresa judecătorilor și procurorilor – în special dacă este combinată cu alte noi măsuri preconizate în privința lor, cum sunt prevederile referitoare la răspunderea materială a magistraților – pot fi considerate legitime și nu ar trebui ignorate”.</w:t>
            </w:r>
          </w:p>
          <w:p w:rsidR="00F74CE0" w:rsidRPr="00CA1F0A" w:rsidRDefault="00F74CE0" w:rsidP="00537DEE">
            <w:pPr>
              <w:pStyle w:val="Default"/>
              <w:tabs>
                <w:tab w:val="left" w:pos="319"/>
              </w:tabs>
              <w:spacing w:line="276" w:lineRule="auto"/>
              <w:jc w:val="both"/>
              <w:rPr>
                <w:rFonts w:ascii="Trebuchet MS" w:hAnsi="Trebuchet MS"/>
                <w:sz w:val="22"/>
                <w:szCs w:val="22"/>
                <w:lang w:val="ro-RO"/>
              </w:rPr>
            </w:pPr>
            <w:r w:rsidRPr="00CA1F0A">
              <w:rPr>
                <w:rFonts w:ascii="Trebuchet MS" w:hAnsi="Trebuchet MS"/>
                <w:sz w:val="22"/>
                <w:szCs w:val="22"/>
                <w:lang w:val="ro-RO" w:eastAsia="pl-PL"/>
              </w:rPr>
              <w:lastRenderedPageBreak/>
              <w:t xml:space="preserve">În </w:t>
            </w:r>
            <w:r w:rsidR="00D51E61" w:rsidRPr="00CA1F0A">
              <w:rPr>
                <w:rFonts w:ascii="Trebuchet MS" w:hAnsi="Trebuchet MS"/>
                <w:sz w:val="22"/>
                <w:szCs w:val="22"/>
                <w:lang w:val="ro-RO" w:eastAsia="pl-PL"/>
              </w:rPr>
              <w:t>A</w:t>
            </w:r>
            <w:r w:rsidRPr="00CA1F0A">
              <w:rPr>
                <w:rFonts w:ascii="Trebuchet MS" w:hAnsi="Trebuchet MS"/>
                <w:sz w:val="22"/>
                <w:szCs w:val="22"/>
                <w:lang w:val="ro-RO" w:eastAsia="pl-PL"/>
              </w:rPr>
              <w:t xml:space="preserve">vizul din 8 iulie 2021, </w:t>
            </w:r>
            <w:r w:rsidRPr="00CA1F0A">
              <w:rPr>
                <w:rFonts w:ascii="Trebuchet MS" w:hAnsi="Trebuchet MS"/>
                <w:sz w:val="22"/>
                <w:szCs w:val="22"/>
                <w:lang w:val="ro-RO"/>
              </w:rPr>
              <w:t xml:space="preserve">Comisia de la Veneția </w:t>
            </w:r>
            <w:r w:rsidRPr="00CA1F0A">
              <w:rPr>
                <w:rFonts w:ascii="Trebuchet MS" w:eastAsia="MS Mincho" w:hAnsi="Trebuchet MS"/>
                <w:color w:val="auto"/>
                <w:sz w:val="22"/>
                <w:szCs w:val="22"/>
                <w:lang w:val="ro-RO"/>
              </w:rPr>
              <w:t xml:space="preserve">a subliniat că </w:t>
            </w:r>
            <w:r w:rsidR="008D0F31">
              <w:rPr>
                <w:rFonts w:ascii="Trebuchet MS" w:eastAsia="MS Mincho" w:hAnsi="Trebuchet MS"/>
                <w:color w:val="auto"/>
                <w:sz w:val="22"/>
                <w:szCs w:val="22"/>
                <w:lang w:val="ro-RO"/>
              </w:rPr>
              <w:t>„</w:t>
            </w:r>
            <w:r w:rsidRPr="008D0F31">
              <w:rPr>
                <w:rFonts w:ascii="Trebuchet MS" w:eastAsia="MS Mincho" w:hAnsi="Trebuchet MS"/>
                <w:i/>
                <w:color w:val="auto"/>
                <w:sz w:val="22"/>
                <w:szCs w:val="22"/>
                <w:lang w:val="ro-RO"/>
              </w:rPr>
              <w:t>plângerile vexatorii (adesea plângeri penale) introduse de persoane private împotriva judecătorilor și procurorilor ar trebui să fie soluționate de parchetele obișnuite. Această chestiune trebuie privită ca un subiect care are nevoie urgentă de reformă</w:t>
            </w:r>
            <w:r w:rsidR="008D0F31" w:rsidRPr="008D0F31">
              <w:rPr>
                <w:rFonts w:ascii="Trebuchet MS" w:eastAsia="MS Mincho" w:hAnsi="Trebuchet MS"/>
                <w:i/>
                <w:color w:val="auto"/>
                <w:sz w:val="22"/>
                <w:szCs w:val="22"/>
                <w:lang w:val="ro-RO"/>
              </w:rPr>
              <w:t>”</w:t>
            </w:r>
            <w:r w:rsidRPr="008D0F31">
              <w:rPr>
                <w:rFonts w:ascii="Trebuchet MS" w:eastAsia="MS Mincho" w:hAnsi="Trebuchet MS"/>
                <w:i/>
                <w:color w:val="auto"/>
                <w:sz w:val="22"/>
                <w:szCs w:val="22"/>
                <w:lang w:val="ro-RO"/>
              </w:rPr>
              <w:t>.</w:t>
            </w:r>
            <w:r w:rsidRPr="00CA1F0A">
              <w:rPr>
                <w:rFonts w:ascii="Trebuchet MS" w:eastAsia="MS Mincho" w:hAnsi="Trebuchet MS"/>
                <w:color w:val="auto"/>
                <w:sz w:val="22"/>
                <w:szCs w:val="22"/>
                <w:lang w:val="ro-RO"/>
              </w:rPr>
              <w:t xml:space="preserve"> </w:t>
            </w:r>
          </w:p>
          <w:p w:rsidR="003A50F0" w:rsidRPr="00CA1F0A" w:rsidRDefault="002F244C" w:rsidP="00537DEE">
            <w:pPr>
              <w:tabs>
                <w:tab w:val="left" w:pos="319"/>
              </w:tabs>
              <w:spacing w:after="0"/>
              <w:ind w:left="0"/>
              <w:rPr>
                <w:lang w:eastAsia="pl-PL"/>
              </w:rPr>
            </w:pPr>
            <w:r w:rsidRPr="00CA1F0A">
              <w:rPr>
                <w:bCs/>
              </w:rPr>
              <w:t xml:space="preserve">3. </w:t>
            </w:r>
            <w:r w:rsidR="003A50F0" w:rsidRPr="00CA1F0A">
              <w:rPr>
                <w:lang w:eastAsia="pl-PL"/>
              </w:rPr>
              <w:t>Grupul Statelor Împotriva Corupției (GRECO) – Consiliul Europei</w:t>
            </w:r>
          </w:p>
          <w:p w:rsidR="003A50F0" w:rsidRPr="00CA1F0A" w:rsidRDefault="003A50F0" w:rsidP="00537DEE">
            <w:pPr>
              <w:tabs>
                <w:tab w:val="left" w:pos="319"/>
              </w:tabs>
              <w:spacing w:after="0"/>
              <w:ind w:left="0"/>
            </w:pPr>
            <w:r w:rsidRPr="00CA1F0A">
              <w:t xml:space="preserve">În Raportul ad-hoc, adoptat în data de 23 martie 2018 (Reuniunea Plenară 79), în conformitate cu Regula 34 din Regulile de Procedură ale organismului anticorupție al Consiliului Europei și în Raportul de </w:t>
            </w:r>
            <w:proofErr w:type="spellStart"/>
            <w:r w:rsidRPr="00CA1F0A">
              <w:rPr>
                <w:i/>
              </w:rPr>
              <w:t>follow-up</w:t>
            </w:r>
            <w:proofErr w:type="spellEnd"/>
            <w:r w:rsidRPr="00CA1F0A">
              <w:t xml:space="preserve"> referitor la Raportul ad-hoc, adoptat în data de 21 iunie 2019 (Reuniunea Plenară 83), GRECO a concluzionat că recomandarea referitoare la abandonarea creării noii secții speciale pentru investigarea infracțiunilor din justiție nu a fost implementată de România.  </w:t>
            </w:r>
          </w:p>
          <w:p w:rsidR="00CA1F0A" w:rsidRPr="00CA1F0A" w:rsidRDefault="00CA1F0A" w:rsidP="00537DEE">
            <w:pPr>
              <w:tabs>
                <w:tab w:val="left" w:pos="319"/>
              </w:tabs>
              <w:spacing w:after="0"/>
              <w:ind w:left="0"/>
            </w:pPr>
          </w:p>
          <w:p w:rsidR="007035D0" w:rsidRPr="00CA1F0A" w:rsidRDefault="007035D0" w:rsidP="00537DEE">
            <w:pPr>
              <w:tabs>
                <w:tab w:val="left" w:pos="319"/>
              </w:tabs>
              <w:autoSpaceDE w:val="0"/>
              <w:autoSpaceDN w:val="0"/>
              <w:adjustRightInd w:val="0"/>
              <w:spacing w:after="0"/>
              <w:ind w:left="0"/>
            </w:pPr>
            <w:r w:rsidRPr="00CA1F0A">
              <w:t>I</w:t>
            </w:r>
            <w:r w:rsidR="003A50F0">
              <w:t>II</w:t>
            </w:r>
            <w:r w:rsidRPr="00CA1F0A">
              <w:t>. În data de 27 decembrie 2019, Guvernul României a aprobat Memorandumul cu tema „</w:t>
            </w:r>
            <w:r w:rsidRPr="00CA1F0A">
              <w:rPr>
                <w:i/>
              </w:rPr>
              <w:t>Evaluarea cadrului legal cu privire la organizarea și funcționarea Secției pentru Investigarea Infracțiunilor din Justiție și propuneri</w:t>
            </w:r>
            <w:r w:rsidRPr="00CA1F0A">
              <w:t xml:space="preserve">”. </w:t>
            </w:r>
          </w:p>
          <w:p w:rsidR="007035D0" w:rsidRPr="00CA1F0A" w:rsidRDefault="007035D0" w:rsidP="00537DEE">
            <w:pPr>
              <w:tabs>
                <w:tab w:val="left" w:pos="319"/>
              </w:tabs>
              <w:autoSpaceDE w:val="0"/>
              <w:autoSpaceDN w:val="0"/>
              <w:adjustRightInd w:val="0"/>
              <w:spacing w:after="0"/>
              <w:ind w:left="0"/>
            </w:pPr>
            <w:r w:rsidRPr="00CA1F0A">
              <w:t xml:space="preserve">Potrivit acestui Memorandum, poziția Ministerului Justiției, aprobată de Guvern, este în sensul soluției desființării Secției pentru </w:t>
            </w:r>
            <w:r w:rsidR="005B3F45">
              <w:t>i</w:t>
            </w:r>
            <w:r w:rsidRPr="00CA1F0A">
              <w:t xml:space="preserve">nvestigarea </w:t>
            </w:r>
            <w:r w:rsidR="005B3F45">
              <w:t>i</w:t>
            </w:r>
            <w:r w:rsidRPr="00CA1F0A">
              <w:t xml:space="preserve">nfracțiunilor din </w:t>
            </w:r>
            <w:r w:rsidR="005B3F45">
              <w:t>j</w:t>
            </w:r>
            <w:r w:rsidRPr="00CA1F0A">
              <w:t xml:space="preserve">ustiție. </w:t>
            </w:r>
          </w:p>
          <w:p w:rsidR="005D557A" w:rsidRPr="00CA1F0A" w:rsidRDefault="001654A3" w:rsidP="00537DEE">
            <w:pPr>
              <w:tabs>
                <w:tab w:val="left" w:pos="319"/>
              </w:tabs>
              <w:autoSpaceDE w:val="0"/>
              <w:autoSpaceDN w:val="0"/>
              <w:adjustRightInd w:val="0"/>
              <w:spacing w:after="0"/>
              <w:ind w:left="0"/>
            </w:pPr>
            <w:r w:rsidRPr="00CA1F0A">
              <w:t xml:space="preserve">Un prim proiect de lege în vederea </w:t>
            </w:r>
            <w:proofErr w:type="spellStart"/>
            <w:r w:rsidRPr="00CA1F0A">
              <w:t>desfiinţării</w:t>
            </w:r>
            <w:proofErr w:type="spellEnd"/>
            <w:r w:rsidRPr="00CA1F0A">
              <w:t xml:space="preserve"> SIIJ a fost </w:t>
            </w:r>
            <w:r w:rsidR="0094494F" w:rsidRPr="00CA1F0A">
              <w:t>supus dezbaterii publice</w:t>
            </w:r>
            <w:r w:rsidRPr="00CA1F0A">
              <w:t xml:space="preserve"> la data de 4 februarie 2020 şi</w:t>
            </w:r>
            <w:r w:rsidR="0094494F" w:rsidRPr="00CA1F0A">
              <w:t>, după adoptarea de către Guvern, a fost</w:t>
            </w:r>
            <w:r w:rsidRPr="00CA1F0A">
              <w:t xml:space="preserve"> transmis Parlamentului</w:t>
            </w:r>
            <w:r w:rsidR="005D557A" w:rsidRPr="00CA1F0A">
              <w:t xml:space="preserve"> </w:t>
            </w:r>
            <w:r w:rsidRPr="00CA1F0A">
              <w:t xml:space="preserve">spre aprobare </w:t>
            </w:r>
            <w:r w:rsidR="0094494F" w:rsidRPr="00CA1F0A">
              <w:t xml:space="preserve">la data de 18 </w:t>
            </w:r>
            <w:r w:rsidR="005D557A" w:rsidRPr="00CA1F0A">
              <w:t>februarie 2021.</w:t>
            </w:r>
          </w:p>
          <w:p w:rsidR="005D557A" w:rsidRPr="00CA1F0A" w:rsidRDefault="005D557A" w:rsidP="00537DEE">
            <w:pPr>
              <w:tabs>
                <w:tab w:val="left" w:pos="319"/>
              </w:tabs>
              <w:autoSpaceDE w:val="0"/>
              <w:autoSpaceDN w:val="0"/>
              <w:adjustRightInd w:val="0"/>
              <w:spacing w:after="0"/>
              <w:ind w:left="0"/>
            </w:pPr>
            <w:r w:rsidRPr="00CA1F0A">
              <w:t xml:space="preserve">Proiectul de lege inițiat de către Guvern a </w:t>
            </w:r>
            <w:r w:rsidR="005C20E0" w:rsidRPr="00CA1F0A">
              <w:t xml:space="preserve">fost </w:t>
            </w:r>
            <w:r w:rsidRPr="00CA1F0A">
              <w:t>avizat negativ de către C</w:t>
            </w:r>
            <w:r w:rsidR="007035D0" w:rsidRPr="00CA1F0A">
              <w:t>onsiliul Superior al Magistraturii</w:t>
            </w:r>
            <w:r w:rsidRPr="00CA1F0A">
              <w:t>, prin Hotărârea nr. 23 din 11 februarie 2021. În acest aviz</w:t>
            </w:r>
            <w:r w:rsidR="007035D0" w:rsidRPr="00CA1F0A">
              <w:t xml:space="preserve">, </w:t>
            </w:r>
            <w:r w:rsidRPr="00CA1F0A">
              <w:t>s-a apreciat că, pentru a nu lipsi principiul independenței justiției de o garanție legală, este necesară reglementarea unor mecanisme care să asigure protecția  adecvată a judecătorilor și procurorilor împotriva oricăror presiuni.</w:t>
            </w:r>
          </w:p>
          <w:p w:rsidR="00AC4075" w:rsidRPr="00CA1F0A" w:rsidRDefault="00AC4075" w:rsidP="00537DEE">
            <w:pPr>
              <w:tabs>
                <w:tab w:val="left" w:pos="319"/>
              </w:tabs>
              <w:autoSpaceDE w:val="0"/>
              <w:autoSpaceDN w:val="0"/>
              <w:adjustRightInd w:val="0"/>
              <w:spacing w:after="0"/>
              <w:ind w:left="0"/>
            </w:pPr>
            <w:r w:rsidRPr="00CA1F0A">
              <w:t>Proiectul a fost adoptat de către Camera Deputaților, cu amendamente  față de forma Guvernului, la data de 24 martie 2021. Actualmente</w:t>
            </w:r>
            <w:r w:rsidR="00B01131">
              <w:t>,</w:t>
            </w:r>
            <w:r w:rsidRPr="00CA1F0A">
              <w:t xml:space="preserve"> proiectul este în dezbaterea Senatului, </w:t>
            </w:r>
            <w:r w:rsidR="005C20E0" w:rsidRPr="00CA1F0A">
              <w:t xml:space="preserve">nefiind întrunită, până la acest moment, </w:t>
            </w:r>
            <w:proofErr w:type="spellStart"/>
            <w:r w:rsidR="005C20E0" w:rsidRPr="00CA1F0A">
              <w:t>susţinerea</w:t>
            </w:r>
            <w:proofErr w:type="spellEnd"/>
            <w:r w:rsidR="005C20E0" w:rsidRPr="00CA1F0A">
              <w:t xml:space="preserve"> necesară pentru adoptarea </w:t>
            </w:r>
            <w:proofErr w:type="spellStart"/>
            <w:r w:rsidR="005C20E0" w:rsidRPr="00CA1F0A">
              <w:t>soluţiilor</w:t>
            </w:r>
            <w:proofErr w:type="spellEnd"/>
            <w:r w:rsidR="005C20E0" w:rsidRPr="00CA1F0A">
              <w:t xml:space="preserve"> legislative propuse de acesta</w:t>
            </w:r>
            <w:r w:rsidRPr="00CA1F0A">
              <w:t>.</w:t>
            </w:r>
          </w:p>
          <w:p w:rsidR="002337B6" w:rsidRPr="00CA1F0A" w:rsidRDefault="002E65A5" w:rsidP="00537DEE">
            <w:pPr>
              <w:tabs>
                <w:tab w:val="left" w:pos="319"/>
              </w:tabs>
              <w:autoSpaceDE w:val="0"/>
              <w:autoSpaceDN w:val="0"/>
              <w:adjustRightInd w:val="0"/>
              <w:spacing w:after="0"/>
              <w:ind w:left="0"/>
            </w:pPr>
            <w:proofErr w:type="spellStart"/>
            <w:r w:rsidRPr="00CA1F0A">
              <w:t>Menţionăm</w:t>
            </w:r>
            <w:proofErr w:type="spellEnd"/>
            <w:r w:rsidRPr="00CA1F0A">
              <w:t xml:space="preserve"> că, sub aspectul </w:t>
            </w:r>
            <w:proofErr w:type="spellStart"/>
            <w:r w:rsidRPr="00CA1F0A">
              <w:t>modalităţii</w:t>
            </w:r>
            <w:proofErr w:type="spellEnd"/>
            <w:r w:rsidRPr="00CA1F0A">
              <w:t xml:space="preserve"> de promovare a </w:t>
            </w:r>
            <w:proofErr w:type="spellStart"/>
            <w:r w:rsidR="00DF2436" w:rsidRPr="00CA1F0A">
              <w:t>intervenţiei</w:t>
            </w:r>
            <w:proofErr w:type="spellEnd"/>
            <w:r w:rsidR="00DF2436" w:rsidRPr="00CA1F0A">
              <w:t xml:space="preserve"> </w:t>
            </w:r>
            <w:r w:rsidRPr="00CA1F0A">
              <w:t xml:space="preserve">legislative privind </w:t>
            </w:r>
            <w:proofErr w:type="spellStart"/>
            <w:r w:rsidRPr="00CA1F0A">
              <w:t>desfiinţarea</w:t>
            </w:r>
            <w:proofErr w:type="spellEnd"/>
            <w:r w:rsidRPr="00CA1F0A">
              <w:t xml:space="preserve"> SIIJ,  </w:t>
            </w:r>
            <w:r w:rsidR="00DF2436" w:rsidRPr="00CA1F0A">
              <w:t>aceasta</w:t>
            </w:r>
            <w:r w:rsidR="002337B6" w:rsidRPr="00CA1F0A">
              <w:t xml:space="preserve"> nu </w:t>
            </w:r>
            <w:r w:rsidR="00DF2436" w:rsidRPr="00CA1F0A">
              <w:t>a putut</w:t>
            </w:r>
            <w:r w:rsidR="002337B6" w:rsidRPr="00CA1F0A">
              <w:t xml:space="preserve"> fi efectuată prin adoptarea unei </w:t>
            </w:r>
            <w:proofErr w:type="spellStart"/>
            <w:r w:rsidRPr="00CA1F0A">
              <w:t>ordonanţ</w:t>
            </w:r>
            <w:r w:rsidR="002337B6" w:rsidRPr="00CA1F0A">
              <w:t>e</w:t>
            </w:r>
            <w:proofErr w:type="spellEnd"/>
            <w:r w:rsidRPr="00CA1F0A">
              <w:t xml:space="preserve"> de </w:t>
            </w:r>
            <w:proofErr w:type="spellStart"/>
            <w:r w:rsidRPr="00CA1F0A">
              <w:t>urgenţă</w:t>
            </w:r>
            <w:proofErr w:type="spellEnd"/>
            <w:r w:rsidR="002337B6" w:rsidRPr="00CA1F0A">
              <w:t>, având în vedere următoarele</w:t>
            </w:r>
            <w:r w:rsidR="00DF2436" w:rsidRPr="00CA1F0A">
              <w:t xml:space="preserve"> considerente care rezultă din </w:t>
            </w:r>
            <w:proofErr w:type="spellStart"/>
            <w:r w:rsidR="00DF2436" w:rsidRPr="00CA1F0A">
              <w:t>jurisprudenţa</w:t>
            </w:r>
            <w:proofErr w:type="spellEnd"/>
            <w:r w:rsidR="00DF2436" w:rsidRPr="00CA1F0A">
              <w:t xml:space="preserve"> </w:t>
            </w:r>
            <w:proofErr w:type="spellStart"/>
            <w:r w:rsidR="00DF2436" w:rsidRPr="00CA1F0A">
              <w:t>Curţii</w:t>
            </w:r>
            <w:proofErr w:type="spellEnd"/>
            <w:r w:rsidR="00DF2436" w:rsidRPr="00CA1F0A">
              <w:t xml:space="preserve"> </w:t>
            </w:r>
            <w:proofErr w:type="spellStart"/>
            <w:r w:rsidR="00DF2436" w:rsidRPr="00CA1F0A">
              <w:t>Constituţionale</w:t>
            </w:r>
            <w:proofErr w:type="spellEnd"/>
            <w:r w:rsidR="002337B6" w:rsidRPr="00CA1F0A">
              <w:t>:</w:t>
            </w:r>
          </w:p>
          <w:p w:rsidR="002337B6" w:rsidRPr="00CA1F0A" w:rsidRDefault="00826824" w:rsidP="00537DEE">
            <w:pPr>
              <w:pStyle w:val="ListParagraph"/>
              <w:tabs>
                <w:tab w:val="left" w:pos="319"/>
              </w:tabs>
              <w:autoSpaceDE w:val="0"/>
              <w:autoSpaceDN w:val="0"/>
              <w:adjustRightInd w:val="0"/>
              <w:spacing w:after="0"/>
              <w:ind w:left="0"/>
              <w:contextualSpacing w:val="0"/>
              <w:rPr>
                <w:highlight w:val="yellow"/>
              </w:rPr>
            </w:pPr>
            <w:r w:rsidRPr="00CA1F0A">
              <w:t xml:space="preserve">- </w:t>
            </w:r>
            <w:r w:rsidR="00CA1F0A" w:rsidRPr="00CA1F0A">
              <w:t>voința</w:t>
            </w:r>
            <w:r w:rsidR="00A13362" w:rsidRPr="00CA1F0A">
              <w:t xml:space="preserve"> </w:t>
            </w:r>
            <w:r w:rsidR="00CA1F0A" w:rsidRPr="00CA1F0A">
              <w:t>cetățenilor</w:t>
            </w:r>
            <w:r w:rsidR="00A13362" w:rsidRPr="00CA1F0A">
              <w:t xml:space="preserve"> exprimată la </w:t>
            </w:r>
            <w:r w:rsidR="002337B6" w:rsidRPr="00CA1F0A">
              <w:t>referendumul organizat în data de 26 mai 2019 ale cărui întrebări au avut ca obiect „</w:t>
            </w:r>
            <w:r w:rsidR="002337B6" w:rsidRPr="00CA1F0A">
              <w:rPr>
                <w:rFonts w:cs="Arial"/>
                <w:color w:val="202122"/>
                <w:shd w:val="clear" w:color="auto" w:fill="FFFFFF"/>
              </w:rPr>
              <w:t xml:space="preserve">interzicerea adoptării de către Guvern a ordonanțelor de </w:t>
            </w:r>
            <w:r w:rsidR="002337B6" w:rsidRPr="00CA1F0A">
              <w:rPr>
                <w:rFonts w:cs="Arial"/>
                <w:color w:val="202122"/>
                <w:shd w:val="clear" w:color="auto" w:fill="FFFFFF"/>
              </w:rPr>
              <w:lastRenderedPageBreak/>
              <w:t xml:space="preserve">urgență în domeniul infracțiunilor, pedepselor și al organizării judiciare și cu extinderea dreptului de a ataca ordonanțele direct la Curtea Constituțională”, </w:t>
            </w:r>
            <w:r w:rsidR="00A13362" w:rsidRPr="00CA1F0A">
              <w:rPr>
                <w:rFonts w:cs="Arial"/>
                <w:color w:val="202122"/>
                <w:shd w:val="clear" w:color="auto" w:fill="FFFFFF"/>
              </w:rPr>
              <w:t xml:space="preserve">referendum ce a fost </w:t>
            </w:r>
            <w:r w:rsidR="002337B6" w:rsidRPr="00CA1F0A">
              <w:rPr>
                <w:rFonts w:cs="Arial"/>
                <w:color w:val="202122"/>
                <w:shd w:val="clear" w:color="auto" w:fill="FFFFFF"/>
              </w:rPr>
              <w:t xml:space="preserve">validat de Curtea </w:t>
            </w:r>
            <w:proofErr w:type="spellStart"/>
            <w:r w:rsidR="002337B6" w:rsidRPr="00CA1F0A">
              <w:rPr>
                <w:rFonts w:cs="Arial"/>
                <w:color w:val="202122"/>
                <w:shd w:val="clear" w:color="auto" w:fill="FFFFFF"/>
              </w:rPr>
              <w:t>Constituţională</w:t>
            </w:r>
            <w:proofErr w:type="spellEnd"/>
            <w:r w:rsidR="00A13362" w:rsidRPr="00CA1F0A">
              <w:rPr>
                <w:rFonts w:cs="Arial"/>
                <w:color w:val="202122"/>
                <w:shd w:val="clear" w:color="auto" w:fill="FFFFFF"/>
              </w:rPr>
              <w:t>;</w:t>
            </w:r>
            <w:r w:rsidR="002337B6" w:rsidRPr="00CA1F0A">
              <w:rPr>
                <w:rFonts w:cs="Arial"/>
                <w:color w:val="202122"/>
                <w:shd w:val="clear" w:color="auto" w:fill="FFFFFF"/>
              </w:rPr>
              <w:t xml:space="preserve"> </w:t>
            </w:r>
          </w:p>
          <w:p w:rsidR="002337B6" w:rsidRPr="00CA1F0A" w:rsidRDefault="00C46537" w:rsidP="00537DEE">
            <w:pPr>
              <w:pStyle w:val="ListParagraph"/>
              <w:tabs>
                <w:tab w:val="left" w:pos="319"/>
              </w:tabs>
              <w:autoSpaceDE w:val="0"/>
              <w:autoSpaceDN w:val="0"/>
              <w:adjustRightInd w:val="0"/>
              <w:spacing w:after="0"/>
              <w:ind w:left="0"/>
              <w:contextualSpacing w:val="0"/>
            </w:pPr>
            <w:r w:rsidRPr="00CA1F0A">
              <w:t xml:space="preserve">- </w:t>
            </w:r>
            <w:proofErr w:type="spellStart"/>
            <w:r w:rsidR="002337B6" w:rsidRPr="00CA1F0A">
              <w:t>existenţa</w:t>
            </w:r>
            <w:proofErr w:type="spellEnd"/>
            <w:r w:rsidR="002337B6" w:rsidRPr="00CA1F0A">
              <w:t xml:space="preserve"> </w:t>
            </w:r>
            <w:r w:rsidR="00242723" w:rsidRPr="00CA1F0A">
              <w:t>pe rolul Parlamentulu</w:t>
            </w:r>
            <w:r w:rsidR="00CA1F0A" w:rsidRPr="00CA1F0A">
              <w:t>i</w:t>
            </w:r>
            <w:r w:rsidR="00242723" w:rsidRPr="00CA1F0A">
              <w:t xml:space="preserve"> a </w:t>
            </w:r>
            <w:r w:rsidR="002337B6" w:rsidRPr="00CA1F0A">
              <w:t>proiect</w:t>
            </w:r>
            <w:r w:rsidR="00242723" w:rsidRPr="00CA1F0A">
              <w:t>ului</w:t>
            </w:r>
            <w:r w:rsidR="002337B6" w:rsidRPr="00CA1F0A">
              <w:t xml:space="preserve"> de lege </w:t>
            </w:r>
            <w:r w:rsidR="00242723" w:rsidRPr="00CA1F0A">
              <w:t xml:space="preserve">anterior </w:t>
            </w:r>
            <w:proofErr w:type="spellStart"/>
            <w:r w:rsidR="00242723" w:rsidRPr="00CA1F0A">
              <w:t>menţionat</w:t>
            </w:r>
            <w:proofErr w:type="spellEnd"/>
            <w:r w:rsidR="00242723" w:rsidRPr="00CA1F0A">
              <w:t xml:space="preserve"> având </w:t>
            </w:r>
            <w:proofErr w:type="spellStart"/>
            <w:r w:rsidR="00242723" w:rsidRPr="00CA1F0A">
              <w:t>acelaşi</w:t>
            </w:r>
            <w:proofErr w:type="spellEnd"/>
            <w:r w:rsidR="00242723" w:rsidRPr="00CA1F0A">
              <w:t xml:space="preserve"> obiect de reglementare. </w:t>
            </w:r>
          </w:p>
          <w:p w:rsidR="00331094" w:rsidRDefault="002E65A5" w:rsidP="00537DEE">
            <w:pPr>
              <w:tabs>
                <w:tab w:val="left" w:pos="319"/>
              </w:tabs>
              <w:autoSpaceDE w:val="0"/>
              <w:autoSpaceDN w:val="0"/>
              <w:adjustRightInd w:val="0"/>
              <w:spacing w:after="0"/>
              <w:ind w:left="0"/>
            </w:pPr>
            <w:r w:rsidRPr="00CA1F0A">
              <w:t xml:space="preserve">De asemenea, nici amendarea proiectului de lege aflat în Parlament </w:t>
            </w:r>
            <w:r w:rsidR="00CA1F0A" w:rsidRPr="00CA1F0A">
              <w:t>și</w:t>
            </w:r>
            <w:r w:rsidRPr="00CA1F0A">
              <w:t xml:space="preserve"> adoptat deja de Camera </w:t>
            </w:r>
            <w:r w:rsidR="00CA1F0A" w:rsidRPr="00CA1F0A">
              <w:t>Deputaților</w:t>
            </w:r>
            <w:r w:rsidRPr="00CA1F0A">
              <w:t>, prin instit</w:t>
            </w:r>
            <w:r w:rsidR="00CA1F0A" w:rsidRPr="00CA1F0A">
              <w:t>u</w:t>
            </w:r>
            <w:r w:rsidRPr="00CA1F0A">
              <w:t>irea de noi solu</w:t>
            </w:r>
            <w:r w:rsidR="00CA1F0A" w:rsidRPr="00CA1F0A">
              <w:t>ț</w:t>
            </w:r>
            <w:r w:rsidRPr="00CA1F0A">
              <w:t>ii legislative la Senat sau completarea cu aspecte nediscutate în prima Cameră a Parl</w:t>
            </w:r>
            <w:r w:rsidR="00D05F1C" w:rsidRPr="00CA1F0A">
              <w:t>a</w:t>
            </w:r>
            <w:r w:rsidRPr="00CA1F0A">
              <w:t xml:space="preserve">mentului nu ar constitui o </w:t>
            </w:r>
            <w:r w:rsidR="00CA1F0A" w:rsidRPr="00CA1F0A">
              <w:t>soluție</w:t>
            </w:r>
            <w:r w:rsidRPr="00CA1F0A">
              <w:t xml:space="preserve"> posibilă, o astfel de modificare/completare contravenind principiului bicameralismului.</w:t>
            </w:r>
          </w:p>
          <w:p w:rsidR="00537DEE" w:rsidRPr="00CA1F0A" w:rsidRDefault="00537DEE" w:rsidP="00537DEE">
            <w:pPr>
              <w:tabs>
                <w:tab w:val="left" w:pos="319"/>
              </w:tabs>
              <w:autoSpaceDE w:val="0"/>
              <w:autoSpaceDN w:val="0"/>
              <w:adjustRightInd w:val="0"/>
              <w:spacing w:after="0"/>
              <w:ind w:left="0"/>
              <w:rPr>
                <w:highlight w:val="yellow"/>
              </w:rPr>
            </w:pPr>
          </w:p>
        </w:tc>
      </w:tr>
      <w:tr w:rsidR="00EC7E47" w:rsidRPr="00CA1F0A" w:rsidTr="00096E7B">
        <w:tc>
          <w:tcPr>
            <w:tcW w:w="4289" w:type="dxa"/>
            <w:tcBorders>
              <w:right w:val="single" w:sz="4" w:space="0" w:color="auto"/>
            </w:tcBorders>
          </w:tcPr>
          <w:p w:rsidR="00614922" w:rsidRPr="00CA1F0A" w:rsidRDefault="00614922" w:rsidP="00537DEE">
            <w:pPr>
              <w:tabs>
                <w:tab w:val="left" w:pos="3261"/>
              </w:tabs>
              <w:spacing w:after="0"/>
              <w:ind w:left="69" w:right="34"/>
              <w:rPr>
                <w:rFonts w:cs="Arial"/>
                <w:snapToGrid w:val="0"/>
              </w:rPr>
            </w:pPr>
            <w:r w:rsidRPr="00CA1F0A">
              <w:rPr>
                <w:rFonts w:cs="Arial"/>
                <w:snapToGrid w:val="0"/>
              </w:rPr>
              <w:lastRenderedPageBreak/>
              <w:t>1</w:t>
            </w:r>
            <w:r w:rsidRPr="00CA1F0A">
              <w:rPr>
                <w:rFonts w:cs="Arial"/>
                <w:snapToGrid w:val="0"/>
                <w:vertAlign w:val="superscript"/>
              </w:rPr>
              <w:t>1</w:t>
            </w:r>
            <w:r w:rsidRPr="00CA1F0A">
              <w:rPr>
                <w:rFonts w:cs="Arial"/>
                <w:snapToGrid w:val="0"/>
              </w:rPr>
              <w:t>. În cazul proiectelor de acte normative care transpun legislație comunitară sau creează cadrul pentru aplicarea directă a acesteia, se vor specifica doar actele comunitare în cauză, însoțite de elementele de identificare ale acestora</w:t>
            </w:r>
          </w:p>
        </w:tc>
        <w:tc>
          <w:tcPr>
            <w:tcW w:w="6094" w:type="dxa"/>
            <w:gridSpan w:val="6"/>
            <w:tcBorders>
              <w:top w:val="single" w:sz="4" w:space="0" w:color="auto"/>
              <w:left w:val="single" w:sz="4" w:space="0" w:color="auto"/>
              <w:bottom w:val="single" w:sz="4" w:space="0" w:color="auto"/>
              <w:right w:val="single" w:sz="4" w:space="0" w:color="auto"/>
            </w:tcBorders>
          </w:tcPr>
          <w:p w:rsidR="00614922" w:rsidRPr="00CA1F0A" w:rsidRDefault="007A1CED" w:rsidP="00537DEE">
            <w:pPr>
              <w:tabs>
                <w:tab w:val="left" w:pos="3261"/>
              </w:tabs>
              <w:spacing w:after="0"/>
              <w:ind w:left="69" w:right="51"/>
            </w:pPr>
            <w:r w:rsidRPr="00CA1F0A">
              <w:t xml:space="preserve">Nu este cazul. </w:t>
            </w:r>
          </w:p>
        </w:tc>
      </w:tr>
      <w:tr w:rsidR="00EC7E47" w:rsidRPr="00CA1F0A" w:rsidTr="00096E7B">
        <w:tc>
          <w:tcPr>
            <w:tcW w:w="4289" w:type="dxa"/>
            <w:tcBorders>
              <w:right w:val="single" w:sz="4" w:space="0" w:color="auto"/>
            </w:tcBorders>
          </w:tcPr>
          <w:p w:rsidR="004175F0" w:rsidRPr="00CA1F0A" w:rsidRDefault="004175F0" w:rsidP="00537DEE">
            <w:pPr>
              <w:tabs>
                <w:tab w:val="left" w:pos="3261"/>
              </w:tabs>
              <w:spacing w:after="0"/>
              <w:ind w:left="69" w:right="-391"/>
              <w:rPr>
                <w:rFonts w:cs="Arial"/>
                <w:snapToGrid w:val="0"/>
              </w:rPr>
            </w:pPr>
            <w:r w:rsidRPr="00CA1F0A">
              <w:rPr>
                <w:rFonts w:cs="Arial"/>
                <w:snapToGrid w:val="0"/>
              </w:rPr>
              <w:t>2. Schimbări preconizate</w:t>
            </w:r>
          </w:p>
        </w:tc>
        <w:tc>
          <w:tcPr>
            <w:tcW w:w="6094" w:type="dxa"/>
            <w:gridSpan w:val="6"/>
            <w:tcBorders>
              <w:top w:val="single" w:sz="4" w:space="0" w:color="auto"/>
              <w:left w:val="single" w:sz="4" w:space="0" w:color="auto"/>
              <w:bottom w:val="single" w:sz="4" w:space="0" w:color="auto"/>
              <w:right w:val="single" w:sz="4" w:space="0" w:color="auto"/>
            </w:tcBorders>
          </w:tcPr>
          <w:p w:rsidR="005970E8" w:rsidRPr="00CA1F0A" w:rsidRDefault="005970E8" w:rsidP="00537DEE">
            <w:pPr>
              <w:tabs>
                <w:tab w:val="left" w:pos="177"/>
              </w:tabs>
              <w:autoSpaceDE w:val="0"/>
              <w:autoSpaceDN w:val="0"/>
              <w:adjustRightInd w:val="0"/>
              <w:spacing w:after="0"/>
              <w:ind w:left="0"/>
              <w:rPr>
                <w:rFonts w:eastAsia="Times New Roman"/>
                <w:lang w:eastAsia="ro-RO"/>
              </w:rPr>
            </w:pPr>
            <w:r w:rsidRPr="00CA1F0A">
              <w:rPr>
                <w:rFonts w:eastAsia="Times New Roman"/>
                <w:lang w:eastAsia="ro-RO"/>
              </w:rPr>
              <w:t xml:space="preserve">Având în vedere cele </w:t>
            </w:r>
            <w:r w:rsidR="008D0F31" w:rsidRPr="00CA1F0A">
              <w:rPr>
                <w:rFonts w:eastAsia="Times New Roman"/>
                <w:lang w:eastAsia="ro-RO"/>
              </w:rPr>
              <w:t>menționate</w:t>
            </w:r>
            <w:r w:rsidRPr="00CA1F0A">
              <w:rPr>
                <w:rFonts w:eastAsia="Times New Roman"/>
                <w:lang w:eastAsia="ro-RO"/>
              </w:rPr>
              <w:t xml:space="preserve"> </w:t>
            </w:r>
            <w:r w:rsidR="004514AB" w:rsidRPr="00CA1F0A">
              <w:rPr>
                <w:rFonts w:eastAsia="Times New Roman"/>
                <w:lang w:eastAsia="ro-RO"/>
              </w:rPr>
              <w:t>mai sus</w:t>
            </w:r>
            <w:r w:rsidRPr="00CA1F0A">
              <w:rPr>
                <w:rFonts w:eastAsia="Times New Roman"/>
                <w:lang w:eastAsia="ro-RO"/>
              </w:rPr>
              <w:t xml:space="preserve">, prezentul proiect de lege propune o </w:t>
            </w:r>
            <w:r w:rsidR="008D0F31" w:rsidRPr="00CA1F0A">
              <w:rPr>
                <w:rFonts w:eastAsia="Times New Roman"/>
                <w:lang w:eastAsia="ro-RO"/>
              </w:rPr>
              <w:t>soluție</w:t>
            </w:r>
            <w:r w:rsidRPr="00CA1F0A">
              <w:rPr>
                <w:rFonts w:eastAsia="Times New Roman"/>
                <w:lang w:eastAsia="ro-RO"/>
              </w:rPr>
              <w:t xml:space="preserve"> fundamentată </w:t>
            </w:r>
            <w:r w:rsidR="00D431CC" w:rsidRPr="00CA1F0A">
              <w:rPr>
                <w:rFonts w:eastAsia="Times New Roman"/>
                <w:lang w:eastAsia="ro-RO"/>
              </w:rPr>
              <w:t>p</w:t>
            </w:r>
            <w:r w:rsidRPr="00CA1F0A">
              <w:rPr>
                <w:rFonts w:eastAsia="Times New Roman"/>
                <w:lang w:eastAsia="ro-RO"/>
              </w:rPr>
              <w:t>e două dimensiuni pri</w:t>
            </w:r>
            <w:r w:rsidR="00D431CC" w:rsidRPr="00CA1F0A">
              <w:rPr>
                <w:rFonts w:eastAsia="Times New Roman"/>
                <w:lang w:eastAsia="ro-RO"/>
              </w:rPr>
              <w:t>n</w:t>
            </w:r>
            <w:r w:rsidRPr="00CA1F0A">
              <w:rPr>
                <w:rFonts w:eastAsia="Times New Roman"/>
                <w:lang w:eastAsia="ro-RO"/>
              </w:rPr>
              <w:t>cipale:</w:t>
            </w:r>
          </w:p>
          <w:p w:rsidR="005970E8" w:rsidRPr="00CA1F0A" w:rsidRDefault="008D0F31" w:rsidP="00537DEE">
            <w:pPr>
              <w:pStyle w:val="ListParagraph"/>
              <w:numPr>
                <w:ilvl w:val="0"/>
                <w:numId w:val="36"/>
              </w:numPr>
              <w:tabs>
                <w:tab w:val="left" w:pos="177"/>
              </w:tabs>
              <w:autoSpaceDE w:val="0"/>
              <w:autoSpaceDN w:val="0"/>
              <w:adjustRightInd w:val="0"/>
              <w:spacing w:after="0"/>
              <w:contextualSpacing w:val="0"/>
              <w:rPr>
                <w:rFonts w:eastAsia="Times New Roman"/>
                <w:b/>
                <w:lang w:eastAsia="ro-RO"/>
              </w:rPr>
            </w:pPr>
            <w:r w:rsidRPr="00CA1F0A">
              <w:rPr>
                <w:rFonts w:eastAsia="Times New Roman"/>
                <w:b/>
                <w:lang w:eastAsia="ro-RO"/>
              </w:rPr>
              <w:t>desființarea</w:t>
            </w:r>
            <w:r w:rsidR="005970E8" w:rsidRPr="00CA1F0A">
              <w:rPr>
                <w:rFonts w:eastAsia="Times New Roman"/>
                <w:b/>
                <w:lang w:eastAsia="ro-RO"/>
              </w:rPr>
              <w:t xml:space="preserve"> SIIJ;</w:t>
            </w:r>
          </w:p>
          <w:p w:rsidR="005970E8" w:rsidRPr="00CA1F0A" w:rsidRDefault="005970E8" w:rsidP="00537DEE">
            <w:pPr>
              <w:pStyle w:val="ListParagraph"/>
              <w:numPr>
                <w:ilvl w:val="0"/>
                <w:numId w:val="36"/>
              </w:numPr>
              <w:tabs>
                <w:tab w:val="left" w:pos="177"/>
              </w:tabs>
              <w:autoSpaceDE w:val="0"/>
              <w:autoSpaceDN w:val="0"/>
              <w:adjustRightInd w:val="0"/>
              <w:spacing w:after="0"/>
              <w:contextualSpacing w:val="0"/>
              <w:rPr>
                <w:rFonts w:eastAsia="Times New Roman"/>
                <w:b/>
                <w:lang w:eastAsia="ro-RO"/>
              </w:rPr>
            </w:pPr>
            <w:r w:rsidRPr="00CA1F0A">
              <w:rPr>
                <w:rFonts w:eastAsia="Times New Roman"/>
                <w:b/>
                <w:lang w:eastAsia="ro-RO"/>
              </w:rPr>
              <w:t>preluarea competenţei SIIJ de către</w:t>
            </w:r>
            <w:r w:rsidR="002E65A5" w:rsidRPr="00CA1F0A">
              <w:rPr>
                <w:rFonts w:eastAsia="Times New Roman"/>
                <w:b/>
                <w:lang w:eastAsia="ro-RO"/>
              </w:rPr>
              <w:t xml:space="preserve"> parchetele </w:t>
            </w:r>
            <w:r w:rsidR="00EF60A2" w:rsidRPr="00CA1F0A">
              <w:rPr>
                <w:rFonts w:eastAsia="Times New Roman"/>
                <w:b/>
                <w:lang w:eastAsia="ro-RO"/>
              </w:rPr>
              <w:t>obişnuite</w:t>
            </w:r>
            <w:r w:rsidR="00D84E5F" w:rsidRPr="00CA1F0A">
              <w:rPr>
                <w:rFonts w:eastAsia="Times New Roman"/>
                <w:b/>
                <w:lang w:eastAsia="ro-RO"/>
              </w:rPr>
              <w:t xml:space="preserve">, </w:t>
            </w:r>
            <w:r w:rsidR="00237699" w:rsidRPr="00CA1F0A">
              <w:rPr>
                <w:rFonts w:eastAsia="Times New Roman"/>
                <w:b/>
                <w:lang w:eastAsia="ro-RO"/>
              </w:rPr>
              <w:t>aceste cauze</w:t>
            </w:r>
            <w:r w:rsidR="00D84E5F" w:rsidRPr="00CA1F0A">
              <w:rPr>
                <w:rFonts w:eastAsia="Times New Roman"/>
                <w:b/>
                <w:lang w:eastAsia="ro-RO"/>
              </w:rPr>
              <w:t xml:space="preserve"> urmând a fi instrumentate doar de procurori anume desemnaţi</w:t>
            </w:r>
            <w:r w:rsidR="004514AB" w:rsidRPr="00CA1F0A">
              <w:rPr>
                <w:rFonts w:eastAsia="Times New Roman"/>
                <w:b/>
                <w:lang w:eastAsia="ro-RO"/>
              </w:rPr>
              <w:t xml:space="preserve"> în acest sens</w:t>
            </w:r>
            <w:r w:rsidR="00D84E5F" w:rsidRPr="00CA1F0A">
              <w:rPr>
                <w:rFonts w:eastAsia="Times New Roman"/>
                <w:b/>
                <w:lang w:eastAsia="ro-RO"/>
              </w:rPr>
              <w:t>, potrivit procedurii propuse prin prezentul proiect</w:t>
            </w:r>
            <w:r w:rsidR="00D431CC" w:rsidRPr="00CA1F0A">
              <w:rPr>
                <w:rFonts w:eastAsia="Times New Roman"/>
                <w:b/>
                <w:lang w:eastAsia="ro-RO"/>
              </w:rPr>
              <w:t xml:space="preserve"> de lege</w:t>
            </w:r>
            <w:r w:rsidR="002E65A5" w:rsidRPr="00CA1F0A">
              <w:rPr>
                <w:rFonts w:eastAsia="Times New Roman"/>
                <w:b/>
                <w:lang w:eastAsia="ro-RO"/>
              </w:rPr>
              <w:t>.</w:t>
            </w:r>
          </w:p>
          <w:p w:rsidR="0052404F" w:rsidRPr="00CA1F0A" w:rsidRDefault="00D84E5F" w:rsidP="00537DEE">
            <w:pPr>
              <w:tabs>
                <w:tab w:val="left" w:pos="177"/>
              </w:tabs>
              <w:autoSpaceDE w:val="0"/>
              <w:autoSpaceDN w:val="0"/>
              <w:adjustRightInd w:val="0"/>
              <w:spacing w:after="0"/>
              <w:ind w:left="0"/>
              <w:rPr>
                <w:iCs/>
              </w:rPr>
            </w:pPr>
            <w:r w:rsidRPr="00CA1F0A">
              <w:rPr>
                <w:rFonts w:eastAsia="Times New Roman"/>
                <w:lang w:eastAsia="ro-RO"/>
              </w:rPr>
              <w:t>Astfel, p</w:t>
            </w:r>
            <w:r w:rsidR="00FA2B85" w:rsidRPr="00CA1F0A">
              <w:rPr>
                <w:rFonts w:eastAsia="Times New Roman"/>
                <w:lang w:eastAsia="ro-RO"/>
              </w:rPr>
              <w:t>rin proiect</w:t>
            </w:r>
            <w:r w:rsidR="00D431CC" w:rsidRPr="00CA1F0A">
              <w:rPr>
                <w:rFonts w:eastAsia="Times New Roman"/>
                <w:lang w:eastAsia="ro-RO"/>
              </w:rPr>
              <w:t>ul</w:t>
            </w:r>
            <w:r w:rsidR="00FA2B85" w:rsidRPr="00CA1F0A">
              <w:rPr>
                <w:rFonts w:eastAsia="Times New Roman"/>
                <w:lang w:eastAsia="ro-RO"/>
              </w:rPr>
              <w:t xml:space="preserve"> de lege se propune </w:t>
            </w:r>
            <w:r w:rsidR="00AA2AF7" w:rsidRPr="00CA1F0A">
              <w:rPr>
                <w:rFonts w:eastAsia="Times New Roman"/>
                <w:lang w:eastAsia="ro-RO"/>
              </w:rPr>
              <w:t xml:space="preserve">desființarea Secției pentru </w:t>
            </w:r>
            <w:r w:rsidR="007E5A7B">
              <w:rPr>
                <w:rFonts w:eastAsia="Times New Roman"/>
                <w:lang w:eastAsia="ro-RO"/>
              </w:rPr>
              <w:t>i</w:t>
            </w:r>
            <w:r w:rsidR="00AA2AF7" w:rsidRPr="00CA1F0A">
              <w:rPr>
                <w:rFonts w:eastAsia="Times New Roman"/>
                <w:lang w:eastAsia="ro-RO"/>
              </w:rPr>
              <w:t xml:space="preserve">nvestigarea </w:t>
            </w:r>
            <w:r w:rsidR="007E5A7B">
              <w:rPr>
                <w:rFonts w:eastAsia="Times New Roman"/>
                <w:lang w:eastAsia="ro-RO"/>
              </w:rPr>
              <w:t>i</w:t>
            </w:r>
            <w:r w:rsidR="00AA2AF7" w:rsidRPr="00CA1F0A">
              <w:rPr>
                <w:rFonts w:eastAsia="Times New Roman"/>
                <w:lang w:eastAsia="ro-RO"/>
              </w:rPr>
              <w:t xml:space="preserve">nfracțiunilor din </w:t>
            </w:r>
            <w:r w:rsidR="007E5A7B">
              <w:rPr>
                <w:rFonts w:eastAsia="Times New Roman"/>
                <w:lang w:eastAsia="ro-RO"/>
              </w:rPr>
              <w:t>j</w:t>
            </w:r>
            <w:r w:rsidR="00AA2AF7" w:rsidRPr="00CA1F0A">
              <w:rPr>
                <w:rFonts w:eastAsia="Times New Roman"/>
                <w:lang w:eastAsia="ro-RO"/>
              </w:rPr>
              <w:t>ustiție</w:t>
            </w:r>
            <w:r w:rsidR="008668E5" w:rsidRPr="00CA1F0A">
              <w:rPr>
                <w:rFonts w:eastAsia="Times New Roman"/>
                <w:lang w:eastAsia="ro-RO"/>
              </w:rPr>
              <w:t xml:space="preserve"> </w:t>
            </w:r>
            <w:r w:rsidR="00CB1E27" w:rsidRPr="00CA1F0A">
              <w:rPr>
                <w:rFonts w:eastAsia="Times New Roman"/>
                <w:lang w:eastAsia="ro-RO"/>
              </w:rPr>
              <w:t xml:space="preserve">la data intrării în vigoare a legii. </w:t>
            </w:r>
            <w:r w:rsidR="00817FDD" w:rsidRPr="00CA1F0A">
              <w:rPr>
                <w:rFonts w:eastAsia="Times New Roman"/>
                <w:lang w:eastAsia="ro-RO"/>
              </w:rPr>
              <w:t>Ca urmare</w:t>
            </w:r>
            <w:r w:rsidR="0052404F" w:rsidRPr="00CA1F0A">
              <w:rPr>
                <w:rFonts w:eastAsia="Times New Roman"/>
                <w:lang w:eastAsia="ro-RO"/>
              </w:rPr>
              <w:t>, s</w:t>
            </w:r>
            <w:r w:rsidR="00CB1E27" w:rsidRPr="00CA1F0A">
              <w:rPr>
                <w:rFonts w:eastAsia="Times New Roman"/>
                <w:lang w:eastAsia="ro-RO"/>
              </w:rPr>
              <w:t>e propune</w:t>
            </w:r>
            <w:r w:rsidR="00AA2AF7" w:rsidRPr="00CA1F0A">
              <w:rPr>
                <w:rFonts w:eastAsia="Times New Roman"/>
                <w:lang w:eastAsia="ro-RO"/>
              </w:rPr>
              <w:t xml:space="preserve"> abrogarea </w:t>
            </w:r>
            <w:r w:rsidR="0052404F" w:rsidRPr="00CA1F0A">
              <w:rPr>
                <w:rFonts w:eastAsia="Times New Roman"/>
                <w:lang w:eastAsia="ro-RO"/>
              </w:rPr>
              <w:t>secțiunii care privește</w:t>
            </w:r>
            <w:r w:rsidR="00AA2AF7" w:rsidRPr="00CA1F0A">
              <w:rPr>
                <w:rFonts w:eastAsia="Times New Roman"/>
                <w:lang w:eastAsia="ro-RO"/>
              </w:rPr>
              <w:t xml:space="preserve"> orga</w:t>
            </w:r>
            <w:r w:rsidR="0052404F" w:rsidRPr="00CA1F0A">
              <w:rPr>
                <w:rFonts w:eastAsia="Times New Roman"/>
                <w:lang w:eastAsia="ro-RO"/>
              </w:rPr>
              <w:t>nizarea, funcționarea și competența acestei secții</w:t>
            </w:r>
            <w:r w:rsidR="00AA2AF7" w:rsidRPr="00CA1F0A">
              <w:rPr>
                <w:rFonts w:eastAsia="Times New Roman"/>
                <w:lang w:eastAsia="ro-RO"/>
              </w:rPr>
              <w:t xml:space="preserve"> </w:t>
            </w:r>
            <w:r w:rsidR="0052404F" w:rsidRPr="00CA1F0A">
              <w:rPr>
                <w:rFonts w:eastAsia="Times New Roman"/>
                <w:lang w:eastAsia="ro-RO"/>
              </w:rPr>
              <w:t>din</w:t>
            </w:r>
            <w:r w:rsidR="00AA2AF7" w:rsidRPr="00CA1F0A">
              <w:rPr>
                <w:rFonts w:eastAsia="Times New Roman"/>
                <w:lang w:eastAsia="ro-RO"/>
              </w:rPr>
              <w:t xml:space="preserve"> </w:t>
            </w:r>
            <w:r w:rsidR="00AA2AF7" w:rsidRPr="00CA1F0A">
              <w:rPr>
                <w:rFonts w:eastAsia="Times New Roman"/>
                <w:i/>
                <w:lang w:eastAsia="ro-RO"/>
              </w:rPr>
              <w:t>Legea nr. 304/2004 privind organizarea judiciară</w:t>
            </w:r>
            <w:r w:rsidR="00AA2AF7" w:rsidRPr="00CA1F0A">
              <w:rPr>
                <w:rFonts w:eastAsia="Times New Roman"/>
                <w:lang w:eastAsia="ro-RO"/>
              </w:rPr>
              <w:t xml:space="preserve"> și instituirea unor dispoziții tranzitorii referitoare la situația personalului și a dos</w:t>
            </w:r>
            <w:r w:rsidR="00D67652" w:rsidRPr="00CA1F0A">
              <w:rPr>
                <w:rFonts w:eastAsia="Times New Roman"/>
                <w:lang w:eastAsia="ro-RO"/>
              </w:rPr>
              <w:t>ar</w:t>
            </w:r>
            <w:r w:rsidR="00AA2AF7" w:rsidRPr="00CA1F0A">
              <w:rPr>
                <w:rFonts w:eastAsia="Times New Roman"/>
                <w:lang w:eastAsia="ro-RO"/>
              </w:rPr>
              <w:t xml:space="preserve">elor aflate pe rolul Secției la data intrării în vigoare a acestei legi. </w:t>
            </w:r>
          </w:p>
          <w:p w:rsidR="002E65A5" w:rsidRPr="00CA1F0A" w:rsidRDefault="004111E0" w:rsidP="00537DEE">
            <w:pPr>
              <w:tabs>
                <w:tab w:val="left" w:pos="177"/>
              </w:tabs>
              <w:autoSpaceDE w:val="0"/>
              <w:autoSpaceDN w:val="0"/>
              <w:adjustRightInd w:val="0"/>
              <w:spacing w:after="0"/>
              <w:ind w:left="0"/>
            </w:pPr>
            <w:r w:rsidRPr="00CA1F0A">
              <w:rPr>
                <w:iCs/>
              </w:rPr>
              <w:t xml:space="preserve">Proiectul </w:t>
            </w:r>
            <w:proofErr w:type="spellStart"/>
            <w:r w:rsidR="00D84E5F" w:rsidRPr="00CA1F0A">
              <w:rPr>
                <w:iCs/>
              </w:rPr>
              <w:t>stabileşte</w:t>
            </w:r>
            <w:proofErr w:type="spellEnd"/>
            <w:r w:rsidR="00D84E5F" w:rsidRPr="00CA1F0A">
              <w:rPr>
                <w:iCs/>
              </w:rPr>
              <w:t xml:space="preserve"> expres</w:t>
            </w:r>
            <w:r w:rsidRPr="00CA1F0A">
              <w:rPr>
                <w:iCs/>
              </w:rPr>
              <w:t xml:space="preserve"> competența de efectuare a urmăririi penale în cauzele care sunt în prezent de competența SIIJ</w:t>
            </w:r>
            <w:r w:rsidR="002E65A5" w:rsidRPr="00CA1F0A">
              <w:rPr>
                <w:iCs/>
              </w:rPr>
              <w:t xml:space="preserve">, </w:t>
            </w:r>
            <w:r w:rsidR="00D84E5F" w:rsidRPr="00CA1F0A">
              <w:rPr>
                <w:iCs/>
              </w:rPr>
              <w:t>după cum urmează:</w:t>
            </w:r>
          </w:p>
          <w:p w:rsidR="00871004" w:rsidRPr="00871004" w:rsidRDefault="004514AB" w:rsidP="00537DEE">
            <w:pPr>
              <w:pStyle w:val="ListParagraph"/>
              <w:numPr>
                <w:ilvl w:val="0"/>
                <w:numId w:val="26"/>
              </w:numPr>
              <w:tabs>
                <w:tab w:val="left" w:pos="177"/>
              </w:tabs>
              <w:spacing w:after="0"/>
              <w:ind w:left="0" w:firstLine="0"/>
              <w:contextualSpacing w:val="0"/>
            </w:pPr>
            <w:r w:rsidRPr="00CA1F0A">
              <w:rPr>
                <w:b/>
              </w:rPr>
              <w:t xml:space="preserve"> </w:t>
            </w:r>
            <w:r w:rsidR="002E65A5" w:rsidRPr="00CA1F0A">
              <w:rPr>
                <w:b/>
              </w:rPr>
              <w:t>Secția de urmărire penală și criminalistică din cadrul Parchetului de pe lângă Înalta Curte de Casație și Justiție</w:t>
            </w:r>
            <w:r w:rsidR="00FD755E">
              <w:rPr>
                <w:b/>
              </w:rPr>
              <w:t>,</w:t>
            </w:r>
            <w:r w:rsidR="002E65A5" w:rsidRPr="00CA1F0A">
              <w:t xml:space="preserve"> pentru</w:t>
            </w:r>
            <w:r w:rsidR="00871004">
              <w:t xml:space="preserve"> </w:t>
            </w:r>
            <w:r w:rsidR="00871004" w:rsidRPr="00871004">
              <w:rPr>
                <w:iCs/>
              </w:rPr>
              <w:t xml:space="preserve">infracţiunile săvârşite de membrii Consiliului Superior al Magistraturii, de judecătorii Înaltei </w:t>
            </w:r>
            <w:proofErr w:type="spellStart"/>
            <w:r w:rsidR="00871004" w:rsidRPr="00871004">
              <w:rPr>
                <w:iCs/>
              </w:rPr>
              <w:t>Curţi</w:t>
            </w:r>
            <w:proofErr w:type="spellEnd"/>
            <w:r w:rsidR="00871004" w:rsidRPr="00871004">
              <w:rPr>
                <w:iCs/>
              </w:rPr>
              <w:t xml:space="preserve"> de </w:t>
            </w:r>
            <w:proofErr w:type="spellStart"/>
            <w:r w:rsidR="00871004" w:rsidRPr="00871004">
              <w:rPr>
                <w:iCs/>
              </w:rPr>
              <w:t>Casaţie</w:t>
            </w:r>
            <w:proofErr w:type="spellEnd"/>
            <w:r w:rsidR="00871004" w:rsidRPr="00871004">
              <w:rPr>
                <w:iCs/>
              </w:rPr>
              <w:t xml:space="preserve"> </w:t>
            </w:r>
            <w:proofErr w:type="spellStart"/>
            <w:r w:rsidR="00871004" w:rsidRPr="00871004">
              <w:rPr>
                <w:iCs/>
              </w:rPr>
              <w:t>şi</w:t>
            </w:r>
            <w:proofErr w:type="spellEnd"/>
            <w:r w:rsidR="00871004" w:rsidRPr="00871004">
              <w:rPr>
                <w:iCs/>
              </w:rPr>
              <w:t xml:space="preserve"> </w:t>
            </w:r>
            <w:proofErr w:type="spellStart"/>
            <w:r w:rsidR="00871004" w:rsidRPr="00871004">
              <w:rPr>
                <w:iCs/>
              </w:rPr>
              <w:t>Justiţie</w:t>
            </w:r>
            <w:proofErr w:type="spellEnd"/>
            <w:r w:rsidR="00871004" w:rsidRPr="00871004">
              <w:rPr>
                <w:iCs/>
              </w:rPr>
              <w:t xml:space="preserve"> </w:t>
            </w:r>
            <w:proofErr w:type="spellStart"/>
            <w:r w:rsidR="00871004" w:rsidRPr="00871004">
              <w:rPr>
                <w:iCs/>
              </w:rPr>
              <w:t>şi</w:t>
            </w:r>
            <w:proofErr w:type="spellEnd"/>
            <w:r w:rsidR="00871004" w:rsidRPr="00871004">
              <w:rPr>
                <w:iCs/>
              </w:rPr>
              <w:t xml:space="preserve"> de procurorii de la Parchetul de pe lângă Înalta Curte de </w:t>
            </w:r>
            <w:proofErr w:type="spellStart"/>
            <w:r w:rsidR="00871004" w:rsidRPr="00871004">
              <w:rPr>
                <w:iCs/>
              </w:rPr>
              <w:t>Casaţie</w:t>
            </w:r>
            <w:proofErr w:type="spellEnd"/>
            <w:r w:rsidR="00871004" w:rsidRPr="00871004">
              <w:rPr>
                <w:iCs/>
              </w:rPr>
              <w:t xml:space="preserve"> </w:t>
            </w:r>
            <w:proofErr w:type="spellStart"/>
            <w:r w:rsidR="00871004" w:rsidRPr="00871004">
              <w:rPr>
                <w:iCs/>
              </w:rPr>
              <w:t>şi</w:t>
            </w:r>
            <w:proofErr w:type="spellEnd"/>
            <w:r w:rsidR="00871004" w:rsidRPr="00871004">
              <w:rPr>
                <w:iCs/>
              </w:rPr>
              <w:t xml:space="preserve"> </w:t>
            </w:r>
            <w:proofErr w:type="spellStart"/>
            <w:r w:rsidR="00871004" w:rsidRPr="00871004">
              <w:rPr>
                <w:iCs/>
              </w:rPr>
              <w:t>Justiţie</w:t>
            </w:r>
            <w:proofErr w:type="spellEnd"/>
            <w:r w:rsidR="00871004" w:rsidRPr="00871004">
              <w:rPr>
                <w:iCs/>
              </w:rPr>
              <w:t xml:space="preserve">, de judecătorii de la curţile de apel şi Curtea Militară de Apel, precum şi de procurorii de la parchetele de pe lângă aceste </w:t>
            </w:r>
            <w:proofErr w:type="spellStart"/>
            <w:r w:rsidR="00871004" w:rsidRPr="00871004">
              <w:rPr>
                <w:iCs/>
              </w:rPr>
              <w:t>instanţe</w:t>
            </w:r>
            <w:proofErr w:type="spellEnd"/>
            <w:r w:rsidR="00871004" w:rsidRPr="00871004">
              <w:rPr>
                <w:iCs/>
              </w:rPr>
              <w:t>.</w:t>
            </w:r>
          </w:p>
          <w:p w:rsidR="00871004" w:rsidRDefault="004514AB" w:rsidP="00537DEE">
            <w:pPr>
              <w:pStyle w:val="ListParagraph"/>
              <w:numPr>
                <w:ilvl w:val="0"/>
                <w:numId w:val="26"/>
              </w:numPr>
              <w:tabs>
                <w:tab w:val="left" w:pos="177"/>
              </w:tabs>
              <w:spacing w:after="0"/>
              <w:ind w:left="0" w:firstLine="0"/>
              <w:contextualSpacing w:val="0"/>
            </w:pPr>
            <w:r w:rsidRPr="00871004">
              <w:rPr>
                <w:b/>
              </w:rPr>
              <w:lastRenderedPageBreak/>
              <w:t xml:space="preserve"> </w:t>
            </w:r>
            <w:r w:rsidR="002E65A5" w:rsidRPr="00871004">
              <w:rPr>
                <w:b/>
              </w:rPr>
              <w:t>Parchetele de pe lângă curţile de apel</w:t>
            </w:r>
            <w:r w:rsidR="008432DC">
              <w:rPr>
                <w:b/>
              </w:rPr>
              <w:t>,</w:t>
            </w:r>
            <w:r w:rsidR="002E65A5" w:rsidRPr="00CA1F0A">
              <w:t xml:space="preserve"> </w:t>
            </w:r>
            <w:bookmarkStart w:id="0" w:name="_Hlk92355716"/>
            <w:r w:rsidR="002E65A5" w:rsidRPr="00CA1F0A">
              <w:t>pentru infracțiunile săvârșite de judecătorii de la judecătorii, tribunale</w:t>
            </w:r>
            <w:r w:rsidR="00A46376" w:rsidRPr="00CA1F0A">
              <w:t>, tribunale militare</w:t>
            </w:r>
            <w:r w:rsidR="002E65A5" w:rsidRPr="00CA1F0A">
              <w:t xml:space="preserve"> şi de procurorii de la parchetele care </w:t>
            </w:r>
            <w:proofErr w:type="spellStart"/>
            <w:r w:rsidR="002E65A5" w:rsidRPr="00CA1F0A">
              <w:t>funcţionează</w:t>
            </w:r>
            <w:proofErr w:type="spellEnd"/>
            <w:r w:rsidR="002E65A5" w:rsidRPr="00CA1F0A">
              <w:t xml:space="preserve"> pe lângă aceste </w:t>
            </w:r>
            <w:proofErr w:type="spellStart"/>
            <w:r w:rsidR="002E65A5" w:rsidRPr="00CA1F0A">
              <w:t>instanţe</w:t>
            </w:r>
            <w:bookmarkEnd w:id="0"/>
            <w:proofErr w:type="spellEnd"/>
            <w:r w:rsidR="00871004">
              <w:t>.</w:t>
            </w:r>
          </w:p>
          <w:p w:rsidR="008C2095" w:rsidRDefault="00D84E5F" w:rsidP="00537DEE">
            <w:pPr>
              <w:spacing w:after="0"/>
              <w:ind w:left="0"/>
            </w:pPr>
            <w:r w:rsidRPr="00CA1F0A">
              <w:t xml:space="preserve">De subliniat că această </w:t>
            </w:r>
            <w:proofErr w:type="spellStart"/>
            <w:r w:rsidRPr="00CA1F0A">
              <w:t>c</w:t>
            </w:r>
            <w:r w:rsidR="002E65A5" w:rsidRPr="00CA1F0A">
              <w:t>ompetenţ</w:t>
            </w:r>
            <w:r w:rsidRPr="00CA1F0A">
              <w:t>ă</w:t>
            </w:r>
            <w:proofErr w:type="spellEnd"/>
            <w:r w:rsidR="002E65A5" w:rsidRPr="00CA1F0A">
              <w:t xml:space="preserve"> este prevăzută pentru orice categorie de </w:t>
            </w:r>
            <w:proofErr w:type="spellStart"/>
            <w:r w:rsidR="002E65A5" w:rsidRPr="00CA1F0A">
              <w:t>infracţiuni</w:t>
            </w:r>
            <w:proofErr w:type="spellEnd"/>
            <w:r w:rsidR="002E65A5" w:rsidRPr="00CA1F0A">
              <w:t xml:space="preserve">, indiferent de parchetul care ar fi fost competent anterior </w:t>
            </w:r>
            <w:proofErr w:type="spellStart"/>
            <w:r w:rsidR="002E65A5" w:rsidRPr="00CA1F0A">
              <w:t>înfiinţării</w:t>
            </w:r>
            <w:proofErr w:type="spellEnd"/>
            <w:r w:rsidR="002E65A5" w:rsidRPr="00CA1F0A">
              <w:t xml:space="preserve"> S</w:t>
            </w:r>
            <w:r w:rsidR="00565C9C" w:rsidRPr="00CA1F0A">
              <w:t xml:space="preserve">IIJ </w:t>
            </w:r>
            <w:r w:rsidR="002E65A5" w:rsidRPr="00CA1F0A">
              <w:t>(</w:t>
            </w:r>
            <w:proofErr w:type="spellStart"/>
            <w:r w:rsidR="002E65A5" w:rsidRPr="00CA1F0A">
              <w:t>Direcţia</w:t>
            </w:r>
            <w:proofErr w:type="spellEnd"/>
            <w:r w:rsidR="002E65A5" w:rsidRPr="00CA1F0A">
              <w:t xml:space="preserve"> </w:t>
            </w:r>
            <w:proofErr w:type="spellStart"/>
            <w:r w:rsidR="002E65A5" w:rsidRPr="00CA1F0A">
              <w:t>Naţională</w:t>
            </w:r>
            <w:proofErr w:type="spellEnd"/>
            <w:r w:rsidR="002E65A5" w:rsidRPr="00CA1F0A">
              <w:t xml:space="preserve"> </w:t>
            </w:r>
            <w:proofErr w:type="spellStart"/>
            <w:r w:rsidR="002E65A5" w:rsidRPr="00CA1F0A">
              <w:t>Anticorupţie</w:t>
            </w:r>
            <w:proofErr w:type="spellEnd"/>
            <w:r w:rsidR="002E65A5" w:rsidRPr="00CA1F0A">
              <w:t xml:space="preserve">, </w:t>
            </w:r>
            <w:proofErr w:type="spellStart"/>
            <w:r w:rsidR="002E65A5" w:rsidRPr="00CA1F0A">
              <w:t>Direcţia</w:t>
            </w:r>
            <w:proofErr w:type="spellEnd"/>
            <w:r w:rsidR="002E65A5" w:rsidRPr="00CA1F0A">
              <w:t xml:space="preserve"> de Investigare a Infracțiunilor de Criminalitate Organizată şi Terorism).</w:t>
            </w:r>
            <w:r w:rsidR="00A46376" w:rsidRPr="00CA1F0A">
              <w:t xml:space="preserve"> </w:t>
            </w:r>
            <w:r w:rsidR="008C2095">
              <w:t>A</w:t>
            </w:r>
            <w:r w:rsidR="008C2095" w:rsidRPr="00B90C02">
              <w:t xml:space="preserve">nterior </w:t>
            </w:r>
            <w:proofErr w:type="spellStart"/>
            <w:r w:rsidR="008C2095" w:rsidRPr="00B90C02">
              <w:t>înfiinţării</w:t>
            </w:r>
            <w:proofErr w:type="spellEnd"/>
            <w:r w:rsidR="008C2095" w:rsidRPr="00B90C02">
              <w:t xml:space="preserve"> </w:t>
            </w:r>
            <w:r w:rsidR="008C2095">
              <w:t>SIIJ</w:t>
            </w:r>
            <w:r w:rsidR="008C2095" w:rsidRPr="00B90C02">
              <w:t xml:space="preserve">, Parchetul de pe lângă Înalta Curte de </w:t>
            </w:r>
            <w:proofErr w:type="spellStart"/>
            <w:r w:rsidR="008C2095" w:rsidRPr="00B90C02">
              <w:t>Casaţie</w:t>
            </w:r>
            <w:proofErr w:type="spellEnd"/>
            <w:r w:rsidR="008C2095" w:rsidRPr="00B90C02">
              <w:t xml:space="preserve"> </w:t>
            </w:r>
            <w:proofErr w:type="spellStart"/>
            <w:r w:rsidR="008C2095" w:rsidRPr="00B90C02">
              <w:t>şi</w:t>
            </w:r>
            <w:proofErr w:type="spellEnd"/>
            <w:r w:rsidR="008C2095" w:rsidRPr="00B90C02">
              <w:t xml:space="preserve"> </w:t>
            </w:r>
            <w:proofErr w:type="spellStart"/>
            <w:r w:rsidR="008C2095" w:rsidRPr="00B90C02">
              <w:t>Justiţie</w:t>
            </w:r>
            <w:proofErr w:type="spellEnd"/>
            <w:r w:rsidR="008C2095" w:rsidRPr="00B90C02">
              <w:t xml:space="preserve"> </w:t>
            </w:r>
            <w:proofErr w:type="spellStart"/>
            <w:r w:rsidR="008C2095">
              <w:t>şi</w:t>
            </w:r>
            <w:proofErr w:type="spellEnd"/>
            <w:r w:rsidR="008C2095">
              <w:t xml:space="preserve"> </w:t>
            </w:r>
            <w:r w:rsidR="008C2095" w:rsidRPr="00B90C02">
              <w:t xml:space="preserve">parchetele de pe lângă curţile de apel erau competente să efectueze urmărirea penală în cazul infracţiunilor săvârşite de </w:t>
            </w:r>
            <w:r w:rsidR="008C2095">
              <w:t>judecători şi procurori</w:t>
            </w:r>
            <w:r w:rsidR="008C2095" w:rsidRPr="00B90C02">
              <w:t xml:space="preserve"> - Parchetul de pe lângă Înalta Curte de Casație și Justiție pentru infracţiunile săvârşite de membrii Consiliului Superior al Magistraturii, de judecătorii Înaltei </w:t>
            </w:r>
            <w:proofErr w:type="spellStart"/>
            <w:r w:rsidR="008C2095" w:rsidRPr="00B90C02">
              <w:t>Curţi</w:t>
            </w:r>
            <w:proofErr w:type="spellEnd"/>
            <w:r w:rsidR="008C2095" w:rsidRPr="00B90C02">
              <w:t xml:space="preserve"> de </w:t>
            </w:r>
            <w:proofErr w:type="spellStart"/>
            <w:r w:rsidR="008C2095" w:rsidRPr="00B90C02">
              <w:t>Casaţie</w:t>
            </w:r>
            <w:proofErr w:type="spellEnd"/>
            <w:r w:rsidR="008C2095" w:rsidRPr="00B90C02">
              <w:t xml:space="preserve"> </w:t>
            </w:r>
            <w:proofErr w:type="spellStart"/>
            <w:r w:rsidR="008C2095" w:rsidRPr="00B90C02">
              <w:t>şi</w:t>
            </w:r>
            <w:proofErr w:type="spellEnd"/>
            <w:r w:rsidR="008C2095" w:rsidRPr="00B90C02">
              <w:t xml:space="preserve"> </w:t>
            </w:r>
            <w:proofErr w:type="spellStart"/>
            <w:r w:rsidR="008C2095" w:rsidRPr="00B90C02">
              <w:t>Justiţie</w:t>
            </w:r>
            <w:proofErr w:type="spellEnd"/>
            <w:r w:rsidR="008C2095" w:rsidRPr="00B90C02">
              <w:t xml:space="preserve"> </w:t>
            </w:r>
            <w:proofErr w:type="spellStart"/>
            <w:r w:rsidR="008C2095" w:rsidRPr="00B90C02">
              <w:t>şi</w:t>
            </w:r>
            <w:proofErr w:type="spellEnd"/>
            <w:r w:rsidR="008C2095" w:rsidRPr="00B90C02">
              <w:t xml:space="preserve"> de procurorii de la Parchetul de</w:t>
            </w:r>
            <w:r w:rsidR="008C2095" w:rsidRPr="001C1E15">
              <w:t xml:space="preserve"> pe lângă Înalta Curte de </w:t>
            </w:r>
            <w:proofErr w:type="spellStart"/>
            <w:r w:rsidR="008C2095" w:rsidRPr="001C1E15">
              <w:t>Casaţie</w:t>
            </w:r>
            <w:proofErr w:type="spellEnd"/>
            <w:r w:rsidR="008C2095" w:rsidRPr="001C1E15">
              <w:t xml:space="preserve"> </w:t>
            </w:r>
            <w:proofErr w:type="spellStart"/>
            <w:r w:rsidR="008C2095" w:rsidRPr="001C1E15">
              <w:t>şi</w:t>
            </w:r>
            <w:proofErr w:type="spellEnd"/>
            <w:r w:rsidR="008C2095" w:rsidRPr="001C1E15">
              <w:t xml:space="preserve"> </w:t>
            </w:r>
            <w:proofErr w:type="spellStart"/>
            <w:r w:rsidR="008C2095" w:rsidRPr="001C1E15">
              <w:t>Justiţie</w:t>
            </w:r>
            <w:proofErr w:type="spellEnd"/>
            <w:r w:rsidR="008C2095" w:rsidRPr="001C1E15">
              <w:t xml:space="preserve">, iar parchetele </w:t>
            </w:r>
            <w:proofErr w:type="spellStart"/>
            <w:r w:rsidR="008C2095" w:rsidRPr="001C1E15">
              <w:t>curţilor</w:t>
            </w:r>
            <w:proofErr w:type="spellEnd"/>
            <w:r w:rsidR="008C2095" w:rsidRPr="001C1E15">
              <w:t xml:space="preserve"> de apel pentru </w:t>
            </w:r>
            <w:proofErr w:type="spellStart"/>
            <w:r w:rsidR="008C2095" w:rsidRPr="001C1E15">
              <w:t>infracţiunile</w:t>
            </w:r>
            <w:proofErr w:type="spellEnd"/>
            <w:r w:rsidR="008C2095" w:rsidRPr="001C1E15">
              <w:t xml:space="preserve"> </w:t>
            </w:r>
            <w:proofErr w:type="spellStart"/>
            <w:r w:rsidR="008C2095" w:rsidRPr="001C1E15">
              <w:t>săvârşite</w:t>
            </w:r>
            <w:proofErr w:type="spellEnd"/>
            <w:r w:rsidR="008C2095" w:rsidRPr="001C1E15">
              <w:t xml:space="preserve"> de </w:t>
            </w:r>
            <w:proofErr w:type="spellStart"/>
            <w:r w:rsidR="008C2095" w:rsidRPr="001C1E15">
              <w:t>ceilalţi</w:t>
            </w:r>
            <w:proofErr w:type="spellEnd"/>
            <w:r w:rsidR="008C2095" w:rsidRPr="001C1E15">
              <w:t xml:space="preserve"> </w:t>
            </w:r>
            <w:proofErr w:type="spellStart"/>
            <w:r w:rsidR="008C2095" w:rsidRPr="001C1E15">
              <w:t>magistraţi</w:t>
            </w:r>
            <w:proofErr w:type="spellEnd"/>
            <w:r w:rsidR="008C2095">
              <w:t xml:space="preserve">, exceptând </w:t>
            </w:r>
            <w:proofErr w:type="spellStart"/>
            <w:r w:rsidR="008C2095">
              <w:t>infracţiunile</w:t>
            </w:r>
            <w:proofErr w:type="spellEnd"/>
            <w:r w:rsidR="008C2095">
              <w:t xml:space="preserve"> date în </w:t>
            </w:r>
            <w:proofErr w:type="spellStart"/>
            <w:r w:rsidR="008C2095">
              <w:t>competenţa</w:t>
            </w:r>
            <w:proofErr w:type="spellEnd"/>
            <w:r w:rsidR="008C2095">
              <w:t xml:space="preserve"> </w:t>
            </w:r>
            <w:proofErr w:type="spellStart"/>
            <w:r w:rsidR="008C2095" w:rsidRPr="00347695">
              <w:t>Direcţiei</w:t>
            </w:r>
            <w:proofErr w:type="spellEnd"/>
            <w:r w:rsidR="008C2095" w:rsidRPr="00347695">
              <w:t xml:space="preserve"> </w:t>
            </w:r>
            <w:proofErr w:type="spellStart"/>
            <w:r w:rsidR="008C2095" w:rsidRPr="00347695">
              <w:t>Naţionale</w:t>
            </w:r>
            <w:proofErr w:type="spellEnd"/>
            <w:r w:rsidR="008C2095" w:rsidRPr="00347695">
              <w:t xml:space="preserve"> </w:t>
            </w:r>
            <w:proofErr w:type="spellStart"/>
            <w:r w:rsidR="008C2095" w:rsidRPr="00347695">
              <w:t>Anticorupţie</w:t>
            </w:r>
            <w:proofErr w:type="spellEnd"/>
            <w:r w:rsidR="008C2095" w:rsidRPr="00347695">
              <w:t xml:space="preserve"> şi Direcţiei de Investigare a Infracțiunilor de Criminalitate Organizată şi Terorism</w:t>
            </w:r>
            <w:r w:rsidR="008C2095">
              <w:t>.</w:t>
            </w:r>
          </w:p>
          <w:p w:rsidR="00A46376" w:rsidRDefault="00A46376" w:rsidP="00537DEE">
            <w:pPr>
              <w:spacing w:after="0"/>
              <w:ind w:left="0"/>
            </w:pPr>
            <w:r w:rsidRPr="00CA1F0A">
              <w:t xml:space="preserve">În </w:t>
            </w:r>
            <w:proofErr w:type="spellStart"/>
            <w:r w:rsidRPr="00CA1F0A">
              <w:t>privinţa</w:t>
            </w:r>
            <w:proofErr w:type="spellEnd"/>
            <w:r w:rsidRPr="00CA1F0A">
              <w:t xml:space="preserve"> </w:t>
            </w:r>
            <w:proofErr w:type="spellStart"/>
            <w:r w:rsidR="00C82A21" w:rsidRPr="00CA1F0A">
              <w:t>infracţiunilor</w:t>
            </w:r>
            <w:proofErr w:type="spellEnd"/>
            <w:r w:rsidR="00C82A21" w:rsidRPr="00CA1F0A">
              <w:t xml:space="preserve"> </w:t>
            </w:r>
            <w:proofErr w:type="spellStart"/>
            <w:r w:rsidR="00C82A21" w:rsidRPr="00CA1F0A">
              <w:t>săvârşite</w:t>
            </w:r>
            <w:proofErr w:type="spellEnd"/>
            <w:r w:rsidR="00C82A21" w:rsidRPr="00CA1F0A">
              <w:t xml:space="preserve"> de </w:t>
            </w:r>
            <w:proofErr w:type="spellStart"/>
            <w:r w:rsidRPr="00CA1F0A">
              <w:t>magistraţi</w:t>
            </w:r>
            <w:r w:rsidR="00C82A21" w:rsidRPr="00CA1F0A">
              <w:t>i</w:t>
            </w:r>
            <w:proofErr w:type="spellEnd"/>
            <w:r w:rsidRPr="00CA1F0A">
              <w:t xml:space="preserve"> militari, </w:t>
            </w:r>
            <w:proofErr w:type="spellStart"/>
            <w:r w:rsidRPr="00CA1F0A">
              <w:t>competenţa</w:t>
            </w:r>
            <w:proofErr w:type="spellEnd"/>
            <w:r w:rsidRPr="00CA1F0A">
              <w:t xml:space="preserve"> </w:t>
            </w:r>
            <w:r w:rsidR="00C82A21" w:rsidRPr="00CA1F0A">
              <w:t>de efectuare a urmăririi penale</w:t>
            </w:r>
            <w:r w:rsidR="00B84C51" w:rsidRPr="00CA1F0A">
              <w:t xml:space="preserve"> </w:t>
            </w:r>
            <w:r w:rsidRPr="00CA1F0A">
              <w:t xml:space="preserve">va </w:t>
            </w:r>
            <w:proofErr w:type="spellStart"/>
            <w:r w:rsidRPr="00CA1F0A">
              <w:t>aparţine</w:t>
            </w:r>
            <w:proofErr w:type="spellEnd"/>
            <w:r w:rsidR="00B01131">
              <w:t>,</w:t>
            </w:r>
            <w:r w:rsidR="008935E0">
              <w:t xml:space="preserve"> potrivit proiectului</w:t>
            </w:r>
            <w:r w:rsidRPr="00CA1F0A">
              <w:t>, în toate cazurile, parchetelor civile</w:t>
            </w:r>
            <w:r w:rsidR="00B84C51" w:rsidRPr="00CA1F0A">
              <w:t xml:space="preserve">. </w:t>
            </w:r>
            <w:proofErr w:type="spellStart"/>
            <w:r w:rsidR="00B84C51" w:rsidRPr="00CA1F0A">
              <w:t>Soluţia</w:t>
            </w:r>
            <w:proofErr w:type="spellEnd"/>
            <w:r w:rsidR="00B84C51" w:rsidRPr="00CA1F0A">
              <w:t xml:space="preserve"> propusă este justificată,</w:t>
            </w:r>
            <w:r w:rsidRPr="00CA1F0A">
              <w:t xml:space="preserve"> în principal</w:t>
            </w:r>
            <w:r w:rsidR="00B84C51" w:rsidRPr="00CA1F0A">
              <w:t>,</w:t>
            </w:r>
            <w:r w:rsidRPr="00CA1F0A">
              <w:t xml:space="preserve"> </w:t>
            </w:r>
            <w:r w:rsidR="00B84C51" w:rsidRPr="00CA1F0A">
              <w:t>de</w:t>
            </w:r>
            <w:r w:rsidRPr="00CA1F0A">
              <w:t xml:space="preserve"> numărul insuficient de procurori militari, dar având în vedere şi statutul de magistrat al acestor militari</w:t>
            </w:r>
            <w:r w:rsidR="00812B9F" w:rsidRPr="00CA1F0A">
              <w:t>. O</w:t>
            </w:r>
            <w:r w:rsidRPr="00CA1F0A">
              <w:t xml:space="preserve"> </w:t>
            </w:r>
            <w:proofErr w:type="spellStart"/>
            <w:r w:rsidRPr="00CA1F0A">
              <w:t>soluţie</w:t>
            </w:r>
            <w:proofErr w:type="spellEnd"/>
            <w:r w:rsidRPr="00CA1F0A">
              <w:t xml:space="preserve"> similară celei propuse se regăsește, </w:t>
            </w:r>
            <w:r w:rsidRPr="00CA1F0A">
              <w:rPr>
                <w:i/>
              </w:rPr>
              <w:t>de lege lata</w:t>
            </w:r>
            <w:r w:rsidRPr="00CA1F0A">
              <w:t xml:space="preserve">, în ceea </w:t>
            </w:r>
            <w:proofErr w:type="spellStart"/>
            <w:r w:rsidRPr="00CA1F0A">
              <w:t>priveşte</w:t>
            </w:r>
            <w:proofErr w:type="spellEnd"/>
            <w:r w:rsidRPr="00CA1F0A">
              <w:t xml:space="preserve"> </w:t>
            </w:r>
            <w:proofErr w:type="spellStart"/>
            <w:r w:rsidRPr="00CA1F0A">
              <w:t>competenţa</w:t>
            </w:r>
            <w:proofErr w:type="spellEnd"/>
            <w:r w:rsidRPr="00CA1F0A">
              <w:t xml:space="preserve"> </w:t>
            </w:r>
            <w:proofErr w:type="spellStart"/>
            <w:r w:rsidR="00880959" w:rsidRPr="00CA1F0A">
              <w:t>Direcţiei</w:t>
            </w:r>
            <w:proofErr w:type="spellEnd"/>
            <w:r w:rsidR="00880959" w:rsidRPr="00CA1F0A">
              <w:t xml:space="preserve"> de Investigare a Infracțiunilor de Criminalitate Organizată şi Terorism</w:t>
            </w:r>
            <w:r w:rsidRPr="00CA1F0A">
              <w:t xml:space="preserve"> (unde urmărirea penală se realizează de procurori civili</w:t>
            </w:r>
            <w:r w:rsidR="002217B2" w:rsidRPr="00CA1F0A">
              <w:t xml:space="preserve"> chiar şi în cazul infracţiunilor comise de militari</w:t>
            </w:r>
            <w:r w:rsidRPr="00CA1F0A">
              <w:t>).</w:t>
            </w:r>
          </w:p>
          <w:p w:rsidR="003A50F0" w:rsidRDefault="003A50F0" w:rsidP="00537DEE">
            <w:pPr>
              <w:spacing w:after="0"/>
              <w:ind w:left="0"/>
            </w:pPr>
            <w:r w:rsidRPr="00CA1F0A">
              <w:t xml:space="preserve">Se observă că </w:t>
            </w:r>
            <w:proofErr w:type="spellStart"/>
            <w:r w:rsidRPr="00CA1F0A">
              <w:t>soluţia</w:t>
            </w:r>
            <w:proofErr w:type="spellEnd"/>
            <w:r w:rsidRPr="00CA1F0A">
              <w:t xml:space="preserve"> propusă prin prezentul proiect în ceea ce priveşte stabilirea competenţei nu reprezintă o noutate absolută</w:t>
            </w:r>
            <w:r w:rsidR="008935E0">
              <w:t>,</w:t>
            </w:r>
            <w:r>
              <w:t xml:space="preserve"> competența după calitatea persoanei regăsindu-se reglementată în Constituție și în Codul de procedură penală.</w:t>
            </w:r>
          </w:p>
          <w:p w:rsidR="00BB737E" w:rsidRPr="00CA1F0A" w:rsidRDefault="00BB737E" w:rsidP="00537DEE">
            <w:pPr>
              <w:spacing w:after="0"/>
              <w:ind w:left="0"/>
            </w:pPr>
            <w:r w:rsidRPr="00871004">
              <w:t>Modul de reglementare a c</w:t>
            </w:r>
            <w:r w:rsidR="0078059D" w:rsidRPr="00871004">
              <w:t>ompetenț</w:t>
            </w:r>
            <w:r w:rsidRPr="00871004">
              <w:t xml:space="preserve">ei </w:t>
            </w:r>
            <w:r w:rsidR="0078059D" w:rsidRPr="00871004">
              <w:t xml:space="preserve">prin prezentul proiect, </w:t>
            </w:r>
            <w:r w:rsidRPr="00871004">
              <w:t>potrivit căruia competența de efectuare a urmăririi penal</w:t>
            </w:r>
            <w:r w:rsidR="00E14D2F">
              <w:t>e</w:t>
            </w:r>
            <w:r w:rsidRPr="00871004">
              <w:t xml:space="preserve"> în cazul infracțiunilor săvârșite de judecători sau procurori este </w:t>
            </w:r>
            <w:r w:rsidR="0074047A" w:rsidRPr="00871004">
              <w:t xml:space="preserve">acordată, după caz, </w:t>
            </w:r>
            <w:r w:rsidR="0078059D" w:rsidRPr="00871004">
              <w:t>atât structurii centrale a Ministerului Public (P</w:t>
            </w:r>
            <w:r w:rsidR="0074047A" w:rsidRPr="00871004">
              <w:t>archetului de pe lângă Înalta Curte de Casație și Justiție</w:t>
            </w:r>
            <w:r w:rsidR="0078059D" w:rsidRPr="00871004">
              <w:t>)</w:t>
            </w:r>
            <w:r w:rsidR="0074047A" w:rsidRPr="00871004">
              <w:t xml:space="preserve">, </w:t>
            </w:r>
            <w:r w:rsidR="0078059D" w:rsidRPr="00871004">
              <w:t>cât și structurilor teritoriale ale acestuia (la nivelul parchetelor de pe lângă curțile de apel) nu</w:t>
            </w:r>
            <w:r w:rsidR="0078059D">
              <w:t xml:space="preserve"> are nici aceasta un caracter de noutate</w:t>
            </w:r>
            <w:r w:rsidR="009F2467">
              <w:t>. Nou creatul Parchet European își desfășoară activitatea la nivel central (Luxemburg)</w:t>
            </w:r>
            <w:r w:rsidR="00871004">
              <w:t>,</w:t>
            </w:r>
            <w:r w:rsidR="009F2467">
              <w:t xml:space="preserve"> cât și la nivel teritorial (la nivelul statelor membre</w:t>
            </w:r>
            <w:r w:rsidR="00871004">
              <w:t xml:space="preserve"> -</w:t>
            </w:r>
            <w:r w:rsidR="009F2467">
              <w:t xml:space="preserve"> părți ale acestei forme de cooperare consolidată).</w:t>
            </w:r>
            <w:r>
              <w:t xml:space="preserve"> Modul de reglementare a competenței propus prin proiect </w:t>
            </w:r>
            <w:r>
              <w:lastRenderedPageBreak/>
              <w:t>va permite utilizarea întregii infrastructuri existente la nivelul parchetelor competente sub aspectul resurselor umane și materiale, astfel încât instrumentarea dosarelor de urmărire penală să se facă cu celeritate și în mod eficient.</w:t>
            </w:r>
          </w:p>
          <w:p w:rsidR="002E65A5" w:rsidRPr="004233DD" w:rsidRDefault="00237699" w:rsidP="00537DEE">
            <w:pPr>
              <w:tabs>
                <w:tab w:val="left" w:pos="177"/>
              </w:tabs>
              <w:spacing w:after="0"/>
              <w:ind w:left="0"/>
            </w:pPr>
            <w:r w:rsidRPr="004233DD">
              <w:t xml:space="preserve">În ceea ce </w:t>
            </w:r>
            <w:r w:rsidR="00CA1F0A" w:rsidRPr="004233DD">
              <w:t>privește</w:t>
            </w:r>
            <w:r w:rsidRPr="004233DD">
              <w:t xml:space="preserve"> procedura de desemnare a procurorilor care vor efectua urmărirea penală a </w:t>
            </w:r>
            <w:r w:rsidR="00CA1F0A" w:rsidRPr="004233DD">
              <w:t>infracțiunilor</w:t>
            </w:r>
            <w:r w:rsidRPr="004233DD">
              <w:t xml:space="preserve"> </w:t>
            </w:r>
            <w:r w:rsidR="00CA1F0A" w:rsidRPr="004233DD">
              <w:t>săvârșite</w:t>
            </w:r>
            <w:r w:rsidR="002E65A5" w:rsidRPr="004233DD">
              <w:t xml:space="preserve"> de judecători şi procurori</w:t>
            </w:r>
            <w:r w:rsidRPr="004233DD">
              <w:t>, aceasta este reglementată prin proiect avându-se în vedere următoarele coordonate</w:t>
            </w:r>
            <w:r w:rsidR="002E65A5" w:rsidRPr="004233DD">
              <w:t>:</w:t>
            </w:r>
          </w:p>
          <w:p w:rsidR="002E65A5" w:rsidRPr="00CA1F0A" w:rsidRDefault="00565C9C" w:rsidP="00537DEE">
            <w:pPr>
              <w:pStyle w:val="ListParagraph"/>
              <w:numPr>
                <w:ilvl w:val="0"/>
                <w:numId w:val="29"/>
              </w:numPr>
              <w:tabs>
                <w:tab w:val="left" w:pos="177"/>
              </w:tabs>
              <w:spacing w:after="0"/>
              <w:ind w:left="0" w:firstLine="0"/>
              <w:contextualSpacing w:val="0"/>
            </w:pPr>
            <w:bookmarkStart w:id="1" w:name="_Hlk92355664"/>
            <w:r w:rsidRPr="00CA1F0A">
              <w:rPr>
                <w:b/>
              </w:rPr>
              <w:t xml:space="preserve"> </w:t>
            </w:r>
            <w:r w:rsidR="002E65A5" w:rsidRPr="00CA1F0A">
              <w:t>Procurori</w:t>
            </w:r>
            <w:r w:rsidR="00237699" w:rsidRPr="00CA1F0A">
              <w:t xml:space="preserve">i sunt </w:t>
            </w:r>
            <w:r w:rsidR="002E65A5" w:rsidRPr="00CA1F0A">
              <w:t>anume desemnaţi de Plenul Consiliului Superior al Magistraturii, la propunerea:</w:t>
            </w:r>
          </w:p>
          <w:bookmarkEnd w:id="1"/>
          <w:p w:rsidR="002E65A5" w:rsidRPr="00CA1F0A" w:rsidRDefault="0027776A" w:rsidP="00537DEE">
            <w:pPr>
              <w:pStyle w:val="ListParagraph"/>
              <w:numPr>
                <w:ilvl w:val="1"/>
                <w:numId w:val="29"/>
              </w:numPr>
              <w:tabs>
                <w:tab w:val="left" w:pos="177"/>
              </w:tabs>
              <w:spacing w:after="0"/>
              <w:ind w:left="0" w:firstLine="0"/>
              <w:contextualSpacing w:val="0"/>
            </w:pPr>
            <w:r>
              <w:t>procurorului general al</w:t>
            </w:r>
            <w:r w:rsidR="002E65A5" w:rsidRPr="00CA1F0A">
              <w:t xml:space="preserve"> Parchetului de pe lângă Înalta Curte de Casație și Justiție, potrivit procedurii reglementat</w:t>
            </w:r>
            <w:r w:rsidR="00B01131">
              <w:t>e</w:t>
            </w:r>
            <w:r w:rsidR="002E65A5" w:rsidRPr="00CA1F0A">
              <w:t xml:space="preserve"> </w:t>
            </w:r>
            <w:r w:rsidR="00B01131">
              <w:t>prin</w:t>
            </w:r>
            <w:r w:rsidR="00B01131" w:rsidRPr="00CA1F0A">
              <w:t xml:space="preserve"> </w:t>
            </w:r>
            <w:r w:rsidR="002E65A5" w:rsidRPr="00CA1F0A">
              <w:t xml:space="preserve">lege, pentru </w:t>
            </w:r>
            <w:proofErr w:type="spellStart"/>
            <w:r w:rsidR="002E65A5" w:rsidRPr="00CA1F0A">
              <w:t>infracţiunile</w:t>
            </w:r>
            <w:proofErr w:type="spellEnd"/>
            <w:r w:rsidR="002E65A5" w:rsidRPr="00CA1F0A">
              <w:t xml:space="preserve"> </w:t>
            </w:r>
            <w:proofErr w:type="spellStart"/>
            <w:r w:rsidR="002E65A5" w:rsidRPr="00CA1F0A">
              <w:t>săvârşite</w:t>
            </w:r>
            <w:proofErr w:type="spellEnd"/>
            <w:r w:rsidR="002E65A5" w:rsidRPr="00CA1F0A">
              <w:t xml:space="preserve"> de membrii Consiliului Superior al Magistraturii, de judecătorii </w:t>
            </w:r>
            <w:r w:rsidR="00E349F9">
              <w:t xml:space="preserve">de la </w:t>
            </w:r>
            <w:r w:rsidR="002E65A5" w:rsidRPr="00CA1F0A">
              <w:t>Înalt</w:t>
            </w:r>
            <w:r w:rsidR="00E349F9">
              <w:t>a</w:t>
            </w:r>
            <w:r w:rsidR="002E65A5" w:rsidRPr="00CA1F0A">
              <w:t xml:space="preserve"> Cur</w:t>
            </w:r>
            <w:r w:rsidR="00E349F9">
              <w:t>te</w:t>
            </w:r>
            <w:r w:rsidR="002E65A5" w:rsidRPr="00CA1F0A">
              <w:t xml:space="preserve"> de </w:t>
            </w:r>
            <w:proofErr w:type="spellStart"/>
            <w:r w:rsidR="002E65A5" w:rsidRPr="00CA1F0A">
              <w:t>Casaţie</w:t>
            </w:r>
            <w:proofErr w:type="spellEnd"/>
            <w:r w:rsidR="002E65A5" w:rsidRPr="00CA1F0A">
              <w:t xml:space="preserve"> </w:t>
            </w:r>
            <w:proofErr w:type="spellStart"/>
            <w:r w:rsidR="002E65A5" w:rsidRPr="00CA1F0A">
              <w:t>şi</w:t>
            </w:r>
            <w:proofErr w:type="spellEnd"/>
            <w:r w:rsidR="002E65A5" w:rsidRPr="00CA1F0A">
              <w:t xml:space="preserve"> </w:t>
            </w:r>
            <w:proofErr w:type="spellStart"/>
            <w:r w:rsidR="002E65A5" w:rsidRPr="00CA1F0A">
              <w:t>Justiţie</w:t>
            </w:r>
            <w:proofErr w:type="spellEnd"/>
            <w:r w:rsidR="00B830BF">
              <w:t xml:space="preserve"> </w:t>
            </w:r>
            <w:proofErr w:type="spellStart"/>
            <w:r w:rsidR="00B830BF">
              <w:t>şi</w:t>
            </w:r>
            <w:proofErr w:type="spellEnd"/>
            <w:r w:rsidR="00B830BF">
              <w:t xml:space="preserve"> de la curţile de apel</w:t>
            </w:r>
            <w:r w:rsidR="002E65A5" w:rsidRPr="00CA1F0A">
              <w:t xml:space="preserve"> </w:t>
            </w:r>
            <w:r w:rsidR="00F003C7">
              <w:t xml:space="preserve">(inclusiv Curtea Militară de Apel) </w:t>
            </w:r>
            <w:r w:rsidR="002E65A5" w:rsidRPr="00CA1F0A">
              <w:t xml:space="preserve">şi de procurorii de la Parchetul de pe lângă Înalta Curte de </w:t>
            </w:r>
            <w:proofErr w:type="spellStart"/>
            <w:r w:rsidR="002E65A5" w:rsidRPr="00CA1F0A">
              <w:t>Casaţie</w:t>
            </w:r>
            <w:proofErr w:type="spellEnd"/>
            <w:r w:rsidR="002E65A5" w:rsidRPr="00CA1F0A">
              <w:t xml:space="preserve"> </w:t>
            </w:r>
            <w:proofErr w:type="spellStart"/>
            <w:r w:rsidR="002E65A5" w:rsidRPr="00CA1F0A">
              <w:t>şi</w:t>
            </w:r>
            <w:proofErr w:type="spellEnd"/>
            <w:r w:rsidR="002E65A5" w:rsidRPr="00CA1F0A">
              <w:t xml:space="preserve"> </w:t>
            </w:r>
            <w:proofErr w:type="spellStart"/>
            <w:r w:rsidR="002E65A5" w:rsidRPr="00CA1F0A">
              <w:t>Justiţie</w:t>
            </w:r>
            <w:proofErr w:type="spellEnd"/>
            <w:r w:rsidR="00906A78">
              <w:t xml:space="preserve">, de la </w:t>
            </w:r>
            <w:r w:rsidR="00B830BF">
              <w:t>parchetele de pe lângă curţile de apel</w:t>
            </w:r>
            <w:r w:rsidR="00906A78">
              <w:t xml:space="preserve"> şi de la Parchetul de pe lângă Curtea Militară de Apel</w:t>
            </w:r>
            <w:r w:rsidR="002E65A5" w:rsidRPr="00CA1F0A">
              <w:t>;</w:t>
            </w:r>
          </w:p>
          <w:p w:rsidR="002E65A5" w:rsidRPr="00CA1F0A" w:rsidRDefault="002E65A5" w:rsidP="00537DEE">
            <w:pPr>
              <w:pStyle w:val="ListParagraph"/>
              <w:numPr>
                <w:ilvl w:val="1"/>
                <w:numId w:val="29"/>
              </w:numPr>
              <w:tabs>
                <w:tab w:val="left" w:pos="177"/>
              </w:tabs>
              <w:spacing w:after="0"/>
              <w:ind w:left="0" w:firstLine="0"/>
              <w:contextualSpacing w:val="0"/>
            </w:pPr>
            <w:r w:rsidRPr="00CA1F0A">
              <w:t>procurorilor generali ai parchetelor de pe lângă curţile de apel,</w:t>
            </w:r>
            <w:r w:rsidRPr="00CA1F0A">
              <w:rPr>
                <w:b/>
              </w:rPr>
              <w:t xml:space="preserve"> </w:t>
            </w:r>
            <w:r w:rsidRPr="00CA1F0A">
              <w:t>pentru infracțiunile săvârșite de judecătorii de la judecătorii, tribunale</w:t>
            </w:r>
            <w:r w:rsidR="008F6386" w:rsidRPr="00CA1F0A">
              <w:t>, tribunale militare</w:t>
            </w:r>
            <w:r w:rsidRPr="00CA1F0A">
              <w:t xml:space="preserve"> şi de procurorii de la parchetele care </w:t>
            </w:r>
            <w:proofErr w:type="spellStart"/>
            <w:r w:rsidRPr="00CA1F0A">
              <w:t>funcţionează</w:t>
            </w:r>
            <w:proofErr w:type="spellEnd"/>
            <w:r w:rsidRPr="00CA1F0A">
              <w:t xml:space="preserve"> pe lângă aceste </w:t>
            </w:r>
            <w:proofErr w:type="spellStart"/>
            <w:r w:rsidRPr="00CA1F0A">
              <w:t>instanţe</w:t>
            </w:r>
            <w:proofErr w:type="spellEnd"/>
            <w:r w:rsidR="00B830BF">
              <w:t>.</w:t>
            </w:r>
          </w:p>
          <w:p w:rsidR="00AF2F56" w:rsidRDefault="00AF2F56" w:rsidP="00537DEE">
            <w:pPr>
              <w:pStyle w:val="ListParagraph"/>
              <w:tabs>
                <w:tab w:val="left" w:pos="177"/>
              </w:tabs>
              <w:spacing w:after="0"/>
              <w:ind w:left="0"/>
              <w:contextualSpacing w:val="0"/>
            </w:pPr>
            <w:r>
              <w:t xml:space="preserve">Efectuarea urmăririi penale în cauze care privesc </w:t>
            </w:r>
            <w:proofErr w:type="spellStart"/>
            <w:r>
              <w:t>magistraţii</w:t>
            </w:r>
            <w:proofErr w:type="spellEnd"/>
            <w:r>
              <w:t xml:space="preserve"> numai de</w:t>
            </w:r>
            <w:r w:rsidR="002B0CA5">
              <w:t xml:space="preserve"> către</w:t>
            </w:r>
            <w:r>
              <w:t xml:space="preserve"> procurori</w:t>
            </w:r>
            <w:r w:rsidR="002B0CA5">
              <w:t>i</w:t>
            </w:r>
            <w:r>
              <w:t xml:space="preserve"> anume desemnaţi</w:t>
            </w:r>
            <w:r w:rsidR="004B056B">
              <w:t xml:space="preserve"> de Plenul Consiliului Superior al Magistraturii</w:t>
            </w:r>
            <w:r>
              <w:t xml:space="preserve"> şi care îndeplinesc anumite </w:t>
            </w:r>
            <w:proofErr w:type="spellStart"/>
            <w:r>
              <w:t>condiţii</w:t>
            </w:r>
            <w:proofErr w:type="spellEnd"/>
            <w:r>
              <w:t xml:space="preserve"> de vechime </w:t>
            </w:r>
            <w:proofErr w:type="spellStart"/>
            <w:r>
              <w:t>şi</w:t>
            </w:r>
            <w:proofErr w:type="spellEnd"/>
            <w:r>
              <w:t xml:space="preserve"> </w:t>
            </w:r>
            <w:proofErr w:type="spellStart"/>
            <w:r>
              <w:t>experienţă</w:t>
            </w:r>
            <w:proofErr w:type="spellEnd"/>
            <w:r>
              <w:t xml:space="preserve"> profesională constituie un mecani</w:t>
            </w:r>
            <w:r w:rsidR="00D35FAB">
              <w:t>s</w:t>
            </w:r>
            <w:r>
              <w:t xml:space="preserve">m suplimentar, cu rol de </w:t>
            </w:r>
            <w:proofErr w:type="spellStart"/>
            <w:r>
              <w:t>garanţie</w:t>
            </w:r>
            <w:proofErr w:type="spellEnd"/>
            <w:r>
              <w:t>, în vederea asigurării unei protecții adecvate a magistraților împotriva eve</w:t>
            </w:r>
            <w:r w:rsidR="00F877C7">
              <w:t>n</w:t>
            </w:r>
            <w:r>
              <w:t>tualelor presiuni exercitate asupra lor</w:t>
            </w:r>
            <w:r w:rsidR="00F877C7">
              <w:t xml:space="preserve"> şi</w:t>
            </w:r>
            <w:r>
              <w:t xml:space="preserve"> împotriva abuzurilor săvârşite prin sesizări/denunțuri arbitrare. </w:t>
            </w:r>
          </w:p>
          <w:p w:rsidR="00537DEE" w:rsidRDefault="00537DEE" w:rsidP="00537DEE">
            <w:pPr>
              <w:pStyle w:val="ListParagraph"/>
              <w:tabs>
                <w:tab w:val="left" w:pos="177"/>
              </w:tabs>
              <w:spacing w:after="0"/>
              <w:ind w:left="0"/>
              <w:contextualSpacing w:val="0"/>
            </w:pPr>
          </w:p>
          <w:p w:rsidR="002E65A5" w:rsidRPr="00CA1F0A" w:rsidRDefault="00BF0E1E" w:rsidP="00537DEE">
            <w:pPr>
              <w:pStyle w:val="ListParagraph"/>
              <w:numPr>
                <w:ilvl w:val="0"/>
                <w:numId w:val="30"/>
              </w:numPr>
              <w:tabs>
                <w:tab w:val="left" w:pos="177"/>
              </w:tabs>
              <w:spacing w:after="0"/>
              <w:ind w:left="0" w:firstLine="0"/>
              <w:contextualSpacing w:val="0"/>
              <w:rPr>
                <w:b/>
              </w:rPr>
            </w:pPr>
            <w:r w:rsidRPr="00CA1F0A">
              <w:rPr>
                <w:b/>
              </w:rPr>
              <w:t xml:space="preserve"> </w:t>
            </w:r>
            <w:proofErr w:type="spellStart"/>
            <w:r w:rsidR="002E65A5" w:rsidRPr="00CA1F0A">
              <w:rPr>
                <w:b/>
              </w:rPr>
              <w:t>Condiţiile</w:t>
            </w:r>
            <w:proofErr w:type="spellEnd"/>
            <w:r w:rsidR="002E65A5" w:rsidRPr="00CA1F0A">
              <w:rPr>
                <w:b/>
              </w:rPr>
              <w:t xml:space="preserve"> de participare la procedura de desemnare:</w:t>
            </w:r>
          </w:p>
          <w:p w:rsidR="002E65A5" w:rsidRPr="00850C34" w:rsidRDefault="00654929" w:rsidP="00537DEE">
            <w:pPr>
              <w:pStyle w:val="ListParagraph"/>
              <w:numPr>
                <w:ilvl w:val="1"/>
                <w:numId w:val="30"/>
              </w:numPr>
              <w:tabs>
                <w:tab w:val="left" w:pos="177"/>
              </w:tabs>
              <w:spacing w:after="0"/>
              <w:ind w:left="0" w:firstLine="0"/>
              <w:contextualSpacing w:val="0"/>
              <w:rPr>
                <w:color w:val="000000" w:themeColor="text1"/>
              </w:rPr>
            </w:pPr>
            <w:r>
              <w:t xml:space="preserve">La nivelul Parchetului de pe lângă Înalta Curte de </w:t>
            </w:r>
            <w:proofErr w:type="spellStart"/>
            <w:r>
              <w:t>Casaţie</w:t>
            </w:r>
            <w:proofErr w:type="spellEnd"/>
            <w:r>
              <w:t xml:space="preserve"> </w:t>
            </w:r>
            <w:proofErr w:type="spellStart"/>
            <w:r>
              <w:t>şi</w:t>
            </w:r>
            <w:proofErr w:type="spellEnd"/>
            <w:r>
              <w:t xml:space="preserve"> </w:t>
            </w:r>
            <w:proofErr w:type="spellStart"/>
            <w:r>
              <w:t>Justiţie</w:t>
            </w:r>
            <w:proofErr w:type="spellEnd"/>
            <w:r>
              <w:t>, p</w:t>
            </w:r>
            <w:r w:rsidR="00B830BF">
              <w:t xml:space="preserve">ot fi </w:t>
            </w:r>
            <w:proofErr w:type="spellStart"/>
            <w:r w:rsidR="00B830BF">
              <w:t>propuşi</w:t>
            </w:r>
            <w:proofErr w:type="spellEnd"/>
            <w:r w:rsidR="00B830BF">
              <w:t xml:space="preserve"> în vederea desemnării p</w:t>
            </w:r>
            <w:r w:rsidR="002E65A5" w:rsidRPr="00CA1F0A">
              <w:t xml:space="preserve">rocurorii care </w:t>
            </w:r>
            <w:proofErr w:type="spellStart"/>
            <w:r w:rsidR="002E65A5" w:rsidRPr="00CA1F0A">
              <w:t>funcţionează</w:t>
            </w:r>
            <w:proofErr w:type="spellEnd"/>
            <w:r w:rsidR="002E65A5" w:rsidRPr="00CA1F0A">
              <w:t xml:space="preserve"> în cadrul </w:t>
            </w:r>
            <w:proofErr w:type="spellStart"/>
            <w:r w:rsidR="002E65A5" w:rsidRPr="00CA1F0A">
              <w:t>Secţiei</w:t>
            </w:r>
            <w:proofErr w:type="spellEnd"/>
            <w:r w:rsidR="002E65A5" w:rsidRPr="00CA1F0A">
              <w:t xml:space="preserve"> de urmărire penală și criminalistică, cu o vechime de cel </w:t>
            </w:r>
            <w:proofErr w:type="spellStart"/>
            <w:r w:rsidR="002E65A5" w:rsidRPr="00CA1F0A">
              <w:t>puţin</w:t>
            </w:r>
            <w:proofErr w:type="spellEnd"/>
            <w:r w:rsidR="002E65A5" w:rsidRPr="00CA1F0A">
              <w:t xml:space="preserve"> </w:t>
            </w:r>
            <w:r w:rsidR="00B01131" w:rsidRPr="00CA1F0A">
              <w:t>1</w:t>
            </w:r>
            <w:r w:rsidR="00B01131">
              <w:t>5</w:t>
            </w:r>
            <w:r w:rsidR="00B01131" w:rsidRPr="00CA1F0A">
              <w:t xml:space="preserve"> </w:t>
            </w:r>
            <w:r w:rsidR="002E65A5" w:rsidRPr="00CA1F0A">
              <w:t xml:space="preserve">ani în </w:t>
            </w:r>
            <w:proofErr w:type="spellStart"/>
            <w:r w:rsidR="002E65A5" w:rsidRPr="00CA1F0A">
              <w:t>funcţia</w:t>
            </w:r>
            <w:proofErr w:type="spellEnd"/>
            <w:r w:rsidR="002E65A5" w:rsidRPr="00CA1F0A">
              <w:t xml:space="preserve"> de procuror, calificativul “foarte bine” la ultimele </w:t>
            </w:r>
            <w:r w:rsidR="006A24D4" w:rsidRPr="00CA1F0A">
              <w:t xml:space="preserve"> două </w:t>
            </w:r>
            <w:r w:rsidR="002E65A5" w:rsidRPr="00CA1F0A">
              <w:t>evaluări profesionale</w:t>
            </w:r>
            <w:r w:rsidR="00B830BF">
              <w:t xml:space="preserve">, care nu </w:t>
            </w:r>
            <w:r w:rsidR="00D03953">
              <w:t>fo</w:t>
            </w:r>
            <w:r w:rsidR="00B830BF">
              <w:t xml:space="preserve">st </w:t>
            </w:r>
            <w:proofErr w:type="spellStart"/>
            <w:r w:rsidR="00B830BF">
              <w:t>sancţionaţi</w:t>
            </w:r>
            <w:proofErr w:type="spellEnd"/>
            <w:r w:rsidR="00B830BF">
              <w:t xml:space="preserve"> disciplinar în ultimii 3 ani</w:t>
            </w:r>
            <w:r w:rsidR="00273E08">
              <w:t xml:space="preserve">, </w:t>
            </w:r>
            <w:r w:rsidR="00273E08" w:rsidRPr="00850C34">
              <w:rPr>
                <w:color w:val="000000" w:themeColor="text1"/>
              </w:rPr>
              <w:t xml:space="preserve">au o conduită morală </w:t>
            </w:r>
            <w:proofErr w:type="spellStart"/>
            <w:r w:rsidR="00273E08" w:rsidRPr="00850C34">
              <w:rPr>
                <w:color w:val="000000" w:themeColor="text1"/>
              </w:rPr>
              <w:t>ireproşabilă</w:t>
            </w:r>
            <w:proofErr w:type="spellEnd"/>
            <w:r w:rsidR="00273E08" w:rsidRPr="00850C34">
              <w:rPr>
                <w:color w:val="000000" w:themeColor="text1"/>
              </w:rPr>
              <w:t xml:space="preserve">, </w:t>
            </w:r>
            <w:r w:rsidR="002E65A5" w:rsidRPr="00850C34">
              <w:rPr>
                <w:color w:val="000000" w:themeColor="text1"/>
              </w:rPr>
              <w:t xml:space="preserve">o </w:t>
            </w:r>
            <w:proofErr w:type="spellStart"/>
            <w:r w:rsidR="002E65A5" w:rsidRPr="00850C34">
              <w:rPr>
                <w:color w:val="000000" w:themeColor="text1"/>
              </w:rPr>
              <w:t>experienţă</w:t>
            </w:r>
            <w:proofErr w:type="spellEnd"/>
            <w:r w:rsidR="002E65A5" w:rsidRPr="00850C34">
              <w:rPr>
                <w:color w:val="000000" w:themeColor="text1"/>
              </w:rPr>
              <w:t xml:space="preserve"> profesională semnificativă, </w:t>
            </w:r>
            <w:r w:rsidR="00164790" w:rsidRPr="00850C34">
              <w:rPr>
                <w:color w:val="000000" w:themeColor="text1"/>
              </w:rPr>
              <w:t>în principal</w:t>
            </w:r>
            <w:r w:rsidR="002E65A5" w:rsidRPr="00850C34">
              <w:rPr>
                <w:color w:val="000000" w:themeColor="text1"/>
              </w:rPr>
              <w:t xml:space="preserve">, în investigarea </w:t>
            </w:r>
            <w:proofErr w:type="spellStart"/>
            <w:r w:rsidR="002E65A5" w:rsidRPr="00850C34">
              <w:rPr>
                <w:color w:val="000000" w:themeColor="text1"/>
              </w:rPr>
              <w:t>infracţiunilor</w:t>
            </w:r>
            <w:proofErr w:type="spellEnd"/>
            <w:r w:rsidR="002E65A5" w:rsidRPr="00850C34">
              <w:rPr>
                <w:color w:val="000000" w:themeColor="text1"/>
              </w:rPr>
              <w:t xml:space="preserve"> de </w:t>
            </w:r>
            <w:proofErr w:type="spellStart"/>
            <w:r w:rsidR="002E65A5" w:rsidRPr="00850C34">
              <w:rPr>
                <w:color w:val="000000" w:themeColor="text1"/>
              </w:rPr>
              <w:t>corupţie</w:t>
            </w:r>
            <w:proofErr w:type="spellEnd"/>
            <w:r w:rsidR="002E65A5" w:rsidRPr="00850C34">
              <w:rPr>
                <w:color w:val="000000" w:themeColor="text1"/>
              </w:rPr>
              <w:t xml:space="preserve"> </w:t>
            </w:r>
            <w:proofErr w:type="spellStart"/>
            <w:r w:rsidR="002E65A5" w:rsidRPr="00850C34">
              <w:rPr>
                <w:color w:val="000000" w:themeColor="text1"/>
              </w:rPr>
              <w:t>şi</w:t>
            </w:r>
            <w:proofErr w:type="spellEnd"/>
            <w:r w:rsidR="002E65A5" w:rsidRPr="00850C34">
              <w:rPr>
                <w:color w:val="000000" w:themeColor="text1"/>
              </w:rPr>
              <w:t xml:space="preserve"> celor asimilate acestora ori a infracţiunilor de crimă organizată şi terorism</w:t>
            </w:r>
            <w:r w:rsidR="00164790" w:rsidRPr="00850C34">
              <w:rPr>
                <w:color w:val="000000" w:themeColor="text1"/>
              </w:rPr>
              <w:t xml:space="preserve">, dar fără a se limita la aceste  categorii de </w:t>
            </w:r>
            <w:proofErr w:type="spellStart"/>
            <w:r w:rsidR="00164790" w:rsidRPr="00850C34">
              <w:rPr>
                <w:color w:val="000000" w:themeColor="text1"/>
              </w:rPr>
              <w:t>infracţiuni</w:t>
            </w:r>
            <w:proofErr w:type="spellEnd"/>
            <w:r w:rsidR="00537DEE" w:rsidRPr="00850C34">
              <w:rPr>
                <w:color w:val="000000" w:themeColor="text1"/>
              </w:rPr>
              <w:t xml:space="preserve"> </w:t>
            </w:r>
            <w:proofErr w:type="spellStart"/>
            <w:r w:rsidR="00537DEE" w:rsidRPr="00850C34">
              <w:rPr>
                <w:color w:val="000000" w:themeColor="text1"/>
              </w:rPr>
              <w:t>şi</w:t>
            </w:r>
            <w:proofErr w:type="spellEnd"/>
            <w:r w:rsidR="00537DEE" w:rsidRPr="00850C34">
              <w:rPr>
                <w:color w:val="000000" w:themeColor="text1"/>
              </w:rPr>
              <w:t xml:space="preserve"> nu au fost </w:t>
            </w:r>
            <w:proofErr w:type="spellStart"/>
            <w:r w:rsidR="00537DEE" w:rsidRPr="00850C34">
              <w:rPr>
                <w:color w:val="000000" w:themeColor="text1"/>
              </w:rPr>
              <w:t>trimişi</w:t>
            </w:r>
            <w:proofErr w:type="spellEnd"/>
            <w:r w:rsidR="00537DEE" w:rsidRPr="00850C34">
              <w:rPr>
                <w:color w:val="000000" w:themeColor="text1"/>
              </w:rPr>
              <w:t xml:space="preserve"> în judecată pentru </w:t>
            </w:r>
            <w:proofErr w:type="spellStart"/>
            <w:r w:rsidR="00537DEE" w:rsidRPr="00850C34">
              <w:rPr>
                <w:color w:val="000000" w:themeColor="text1"/>
              </w:rPr>
              <w:t>săvârşirea</w:t>
            </w:r>
            <w:proofErr w:type="spellEnd"/>
            <w:r w:rsidR="00537DEE" w:rsidRPr="00850C34">
              <w:rPr>
                <w:color w:val="000000" w:themeColor="text1"/>
              </w:rPr>
              <w:t xml:space="preserve"> de </w:t>
            </w:r>
            <w:proofErr w:type="spellStart"/>
            <w:r w:rsidR="00537DEE" w:rsidRPr="00850C34">
              <w:rPr>
                <w:color w:val="000000" w:themeColor="text1"/>
              </w:rPr>
              <w:t>infracţiuni</w:t>
            </w:r>
            <w:proofErr w:type="spellEnd"/>
            <w:r w:rsidR="00164790" w:rsidRPr="00850C34">
              <w:rPr>
                <w:color w:val="000000" w:themeColor="text1"/>
              </w:rPr>
              <w:t xml:space="preserve">. </w:t>
            </w:r>
          </w:p>
          <w:p w:rsidR="002E65A5" w:rsidRDefault="00B830BF" w:rsidP="00537DEE">
            <w:pPr>
              <w:pStyle w:val="ListParagraph"/>
              <w:numPr>
                <w:ilvl w:val="1"/>
                <w:numId w:val="30"/>
              </w:numPr>
              <w:tabs>
                <w:tab w:val="left" w:pos="177"/>
              </w:tabs>
              <w:spacing w:after="0"/>
              <w:ind w:left="0" w:firstLine="0"/>
              <w:contextualSpacing w:val="0"/>
            </w:pPr>
            <w:r w:rsidRPr="00850C34">
              <w:rPr>
                <w:color w:val="000000" w:themeColor="text1"/>
              </w:rPr>
              <w:lastRenderedPageBreak/>
              <w:t xml:space="preserve">La nivel de parchete de pe lângă curţile de apel, pot fi </w:t>
            </w:r>
            <w:proofErr w:type="spellStart"/>
            <w:r w:rsidRPr="00850C34">
              <w:rPr>
                <w:color w:val="000000" w:themeColor="text1"/>
              </w:rPr>
              <w:t>propuşi</w:t>
            </w:r>
            <w:proofErr w:type="spellEnd"/>
            <w:r w:rsidRPr="00850C34">
              <w:rPr>
                <w:color w:val="000000" w:themeColor="text1"/>
              </w:rPr>
              <w:t xml:space="preserve"> în vederea desemnării p</w:t>
            </w:r>
            <w:r w:rsidR="002E65A5" w:rsidRPr="00850C34">
              <w:rPr>
                <w:color w:val="000000" w:themeColor="text1"/>
              </w:rPr>
              <w:t xml:space="preserve">rocurorii care </w:t>
            </w:r>
            <w:proofErr w:type="spellStart"/>
            <w:r w:rsidR="002E65A5" w:rsidRPr="00850C34">
              <w:rPr>
                <w:color w:val="000000" w:themeColor="text1"/>
              </w:rPr>
              <w:t>funcţionează</w:t>
            </w:r>
            <w:proofErr w:type="spellEnd"/>
            <w:r w:rsidR="002E65A5" w:rsidRPr="00850C34">
              <w:rPr>
                <w:color w:val="000000" w:themeColor="text1"/>
              </w:rPr>
              <w:t xml:space="preserve"> în cadrul </w:t>
            </w:r>
            <w:proofErr w:type="spellStart"/>
            <w:r w:rsidR="002E65A5" w:rsidRPr="00850C34">
              <w:rPr>
                <w:color w:val="000000" w:themeColor="text1"/>
              </w:rPr>
              <w:t>secţiilor</w:t>
            </w:r>
            <w:proofErr w:type="spellEnd"/>
            <w:r w:rsidR="002E65A5" w:rsidRPr="00850C34">
              <w:rPr>
                <w:color w:val="000000" w:themeColor="text1"/>
              </w:rPr>
              <w:t xml:space="preserve"> de urmărire penală ale parchetelor de pe lângă curţile de apel, cu o vechime de cel </w:t>
            </w:r>
            <w:proofErr w:type="spellStart"/>
            <w:r w:rsidR="002E65A5" w:rsidRPr="00850C34">
              <w:rPr>
                <w:color w:val="000000" w:themeColor="text1"/>
              </w:rPr>
              <w:t>puţin</w:t>
            </w:r>
            <w:proofErr w:type="spellEnd"/>
            <w:r w:rsidR="002E65A5" w:rsidRPr="00850C34">
              <w:rPr>
                <w:color w:val="000000" w:themeColor="text1"/>
              </w:rPr>
              <w:t xml:space="preserve"> </w:t>
            </w:r>
            <w:r w:rsidR="00B01131" w:rsidRPr="00850C34">
              <w:rPr>
                <w:color w:val="000000" w:themeColor="text1"/>
              </w:rPr>
              <w:t xml:space="preserve">12 </w:t>
            </w:r>
            <w:r w:rsidR="002E65A5" w:rsidRPr="00850C34">
              <w:rPr>
                <w:color w:val="000000" w:themeColor="text1"/>
              </w:rPr>
              <w:t xml:space="preserve">ani în </w:t>
            </w:r>
            <w:proofErr w:type="spellStart"/>
            <w:r w:rsidR="002E65A5" w:rsidRPr="00850C34">
              <w:rPr>
                <w:color w:val="000000" w:themeColor="text1"/>
              </w:rPr>
              <w:t>funcţia</w:t>
            </w:r>
            <w:proofErr w:type="spellEnd"/>
            <w:r w:rsidR="002E65A5" w:rsidRPr="00850C34">
              <w:rPr>
                <w:color w:val="000000" w:themeColor="text1"/>
              </w:rPr>
              <w:t xml:space="preserve"> de procuror, calificativul “foarte bine” la ultimele </w:t>
            </w:r>
            <w:r w:rsidR="0081212C" w:rsidRPr="00850C34">
              <w:rPr>
                <w:color w:val="000000" w:themeColor="text1"/>
              </w:rPr>
              <w:t>două</w:t>
            </w:r>
            <w:r w:rsidR="002E65A5" w:rsidRPr="00850C34">
              <w:rPr>
                <w:color w:val="000000" w:themeColor="text1"/>
              </w:rPr>
              <w:t xml:space="preserve"> evaluări profesionale</w:t>
            </w:r>
            <w:r w:rsidR="00D03953" w:rsidRPr="00850C34">
              <w:rPr>
                <w:color w:val="000000" w:themeColor="text1"/>
              </w:rPr>
              <w:t xml:space="preserve">, care nu fost </w:t>
            </w:r>
            <w:proofErr w:type="spellStart"/>
            <w:r w:rsidR="00D03953" w:rsidRPr="00850C34">
              <w:rPr>
                <w:color w:val="000000" w:themeColor="text1"/>
              </w:rPr>
              <w:t>sancţionaţi</w:t>
            </w:r>
            <w:proofErr w:type="spellEnd"/>
            <w:r w:rsidR="00D03953" w:rsidRPr="00850C34">
              <w:rPr>
                <w:color w:val="000000" w:themeColor="text1"/>
              </w:rPr>
              <w:t xml:space="preserve"> disciplinar în ultimii 3 ani</w:t>
            </w:r>
            <w:r w:rsidR="00273E08" w:rsidRPr="00850C34">
              <w:rPr>
                <w:color w:val="000000" w:themeColor="text1"/>
              </w:rPr>
              <w:t xml:space="preserve">, au o conduită morală </w:t>
            </w:r>
            <w:proofErr w:type="spellStart"/>
            <w:r w:rsidR="00273E08" w:rsidRPr="00850C34">
              <w:rPr>
                <w:color w:val="000000" w:themeColor="text1"/>
              </w:rPr>
              <w:t>ireproşabilă</w:t>
            </w:r>
            <w:proofErr w:type="spellEnd"/>
            <w:r w:rsidR="00273E08" w:rsidRPr="00850C34">
              <w:rPr>
                <w:color w:val="000000" w:themeColor="text1"/>
              </w:rPr>
              <w:t xml:space="preserve">, </w:t>
            </w:r>
            <w:r w:rsidR="002E65A5" w:rsidRPr="00850C34">
              <w:rPr>
                <w:color w:val="000000" w:themeColor="text1"/>
              </w:rPr>
              <w:t xml:space="preserve">o </w:t>
            </w:r>
            <w:proofErr w:type="spellStart"/>
            <w:r w:rsidR="002E65A5" w:rsidRPr="00850C34">
              <w:rPr>
                <w:color w:val="000000" w:themeColor="text1"/>
              </w:rPr>
              <w:t>experienţă</w:t>
            </w:r>
            <w:proofErr w:type="spellEnd"/>
            <w:r w:rsidR="002E65A5" w:rsidRPr="00850C34">
              <w:rPr>
                <w:color w:val="000000" w:themeColor="text1"/>
              </w:rPr>
              <w:t xml:space="preserve"> profesională semnificativă, </w:t>
            </w:r>
            <w:r w:rsidR="0081212C" w:rsidRPr="00850C34">
              <w:rPr>
                <w:color w:val="000000" w:themeColor="text1"/>
              </w:rPr>
              <w:t>în principal</w:t>
            </w:r>
            <w:r w:rsidR="002E65A5" w:rsidRPr="00850C34">
              <w:rPr>
                <w:color w:val="000000" w:themeColor="text1"/>
              </w:rPr>
              <w:t xml:space="preserve">, în investigarea </w:t>
            </w:r>
            <w:proofErr w:type="spellStart"/>
            <w:r w:rsidR="002E65A5" w:rsidRPr="00850C34">
              <w:rPr>
                <w:color w:val="000000" w:themeColor="text1"/>
              </w:rPr>
              <w:t>infracţiunilor</w:t>
            </w:r>
            <w:proofErr w:type="spellEnd"/>
            <w:r w:rsidR="002E65A5" w:rsidRPr="00850C34">
              <w:rPr>
                <w:color w:val="000000" w:themeColor="text1"/>
              </w:rPr>
              <w:t xml:space="preserve"> de </w:t>
            </w:r>
            <w:proofErr w:type="spellStart"/>
            <w:r w:rsidR="002E65A5" w:rsidRPr="00CA1F0A">
              <w:t>corupţie</w:t>
            </w:r>
            <w:proofErr w:type="spellEnd"/>
            <w:r w:rsidR="002E65A5" w:rsidRPr="00CA1F0A">
              <w:t xml:space="preserve"> </w:t>
            </w:r>
            <w:proofErr w:type="spellStart"/>
            <w:r w:rsidR="002E65A5" w:rsidRPr="00CA1F0A">
              <w:t>şi</w:t>
            </w:r>
            <w:proofErr w:type="spellEnd"/>
            <w:r w:rsidR="002E65A5" w:rsidRPr="00CA1F0A">
              <w:t xml:space="preserve"> celor asimilate acestora ori a infracţiunilor de crimă organizată şi terorism</w:t>
            </w:r>
            <w:r w:rsidR="0081212C" w:rsidRPr="00CA1F0A">
              <w:t xml:space="preserve">, dar fără a se limita la aceste  categorii de </w:t>
            </w:r>
            <w:proofErr w:type="spellStart"/>
            <w:r w:rsidR="0081212C" w:rsidRPr="00CA1F0A">
              <w:t>infracţiuni</w:t>
            </w:r>
            <w:proofErr w:type="spellEnd"/>
            <w:r w:rsidR="00537DEE">
              <w:t xml:space="preserve"> </w:t>
            </w:r>
            <w:proofErr w:type="spellStart"/>
            <w:r w:rsidR="00537DEE">
              <w:t>şi</w:t>
            </w:r>
            <w:proofErr w:type="spellEnd"/>
            <w:r w:rsidR="00537DEE">
              <w:t xml:space="preserve"> nu au fost </w:t>
            </w:r>
            <w:proofErr w:type="spellStart"/>
            <w:r w:rsidR="00537DEE">
              <w:t>trimişi</w:t>
            </w:r>
            <w:proofErr w:type="spellEnd"/>
            <w:r w:rsidR="00537DEE">
              <w:t xml:space="preserve"> în judecată pentru </w:t>
            </w:r>
            <w:proofErr w:type="spellStart"/>
            <w:r w:rsidR="00537DEE">
              <w:t>săvârşirea</w:t>
            </w:r>
            <w:proofErr w:type="spellEnd"/>
            <w:r w:rsidR="00537DEE">
              <w:t xml:space="preserve"> de </w:t>
            </w:r>
            <w:proofErr w:type="spellStart"/>
            <w:r w:rsidR="00537DEE">
              <w:t>infracţiuni</w:t>
            </w:r>
            <w:proofErr w:type="spellEnd"/>
            <w:r w:rsidR="0081212C" w:rsidRPr="00CA1F0A">
              <w:t xml:space="preserve">. </w:t>
            </w:r>
          </w:p>
          <w:p w:rsidR="00BB737E" w:rsidRDefault="00BB737E" w:rsidP="00537DEE">
            <w:pPr>
              <w:pStyle w:val="ListParagraph"/>
              <w:tabs>
                <w:tab w:val="left" w:pos="177"/>
              </w:tabs>
              <w:spacing w:after="0"/>
              <w:ind w:left="0"/>
              <w:contextualSpacing w:val="0"/>
            </w:pPr>
            <w:r>
              <w:t>Reglementările propuse</w:t>
            </w:r>
            <w:r w:rsidR="00F67CFD">
              <w:t>,</w:t>
            </w:r>
            <w:r>
              <w:t xml:space="preserve"> care includ elemente precum vechimea sau experiența profesională drept condiții pentru selectarea în vederea desemnării instituie un veritabil mecanism </w:t>
            </w:r>
            <w:r w:rsidRPr="00CA1F0A">
              <w:t>care să asigure protecția  adecvată a judecătorilor și procurorilor împotriva oricăror presiuni</w:t>
            </w:r>
            <w:r>
              <w:t>.</w:t>
            </w:r>
          </w:p>
          <w:p w:rsidR="00537DEE" w:rsidRDefault="00537DEE" w:rsidP="00537DEE">
            <w:pPr>
              <w:pStyle w:val="ListParagraph"/>
              <w:tabs>
                <w:tab w:val="left" w:pos="177"/>
              </w:tabs>
              <w:spacing w:after="0"/>
              <w:ind w:left="0"/>
              <w:contextualSpacing w:val="0"/>
            </w:pPr>
          </w:p>
          <w:p w:rsidR="002E65A5" w:rsidRPr="00CA1F0A" w:rsidRDefault="00BF0E1E" w:rsidP="00537DEE">
            <w:pPr>
              <w:pStyle w:val="ListParagraph"/>
              <w:numPr>
                <w:ilvl w:val="0"/>
                <w:numId w:val="30"/>
              </w:numPr>
              <w:tabs>
                <w:tab w:val="left" w:pos="177"/>
              </w:tabs>
              <w:spacing w:after="0"/>
              <w:ind w:left="0" w:firstLine="0"/>
              <w:contextualSpacing w:val="0"/>
              <w:rPr>
                <w:b/>
              </w:rPr>
            </w:pPr>
            <w:r w:rsidRPr="00CA1F0A">
              <w:rPr>
                <w:b/>
              </w:rPr>
              <w:t xml:space="preserve"> </w:t>
            </w:r>
            <w:proofErr w:type="spellStart"/>
            <w:r w:rsidR="002E65A5" w:rsidRPr="00CA1F0A">
              <w:rPr>
                <w:b/>
              </w:rPr>
              <w:t>Desfăşurarea</w:t>
            </w:r>
            <w:proofErr w:type="spellEnd"/>
            <w:r w:rsidR="002E65A5" w:rsidRPr="00CA1F0A">
              <w:rPr>
                <w:b/>
              </w:rPr>
              <w:t xml:space="preserve"> procedurii de desemnare:</w:t>
            </w:r>
          </w:p>
          <w:p w:rsidR="00C31EEE" w:rsidRDefault="00512AE0" w:rsidP="00537DEE">
            <w:pPr>
              <w:pStyle w:val="ListParagraph"/>
              <w:numPr>
                <w:ilvl w:val="0"/>
                <w:numId w:val="42"/>
              </w:numPr>
              <w:autoSpaceDE w:val="0"/>
              <w:autoSpaceDN w:val="0"/>
              <w:adjustRightInd w:val="0"/>
              <w:spacing w:after="0"/>
              <w:ind w:left="35" w:firstLine="0"/>
              <w:rPr>
                <w:rFonts w:cstheme="minorHAnsi"/>
                <w:iCs/>
              </w:rPr>
            </w:pPr>
            <w:r w:rsidRPr="001B6936">
              <w:t xml:space="preserve">Lista </w:t>
            </w:r>
            <w:r>
              <w:t xml:space="preserve">tuturor </w:t>
            </w:r>
            <w:r w:rsidRPr="001B6936">
              <w:t xml:space="preserve">procurorilor </w:t>
            </w:r>
            <w:r>
              <w:t xml:space="preserve">care îndeplinesc </w:t>
            </w:r>
            <w:proofErr w:type="spellStart"/>
            <w:r>
              <w:t>condiţiile</w:t>
            </w:r>
            <w:proofErr w:type="spellEnd"/>
            <w:r>
              <w:t xml:space="preserve"> prevăzute </w:t>
            </w:r>
            <w:r w:rsidR="00C31EEE" w:rsidRPr="003F67DF">
              <w:t>de lege</w:t>
            </w:r>
            <w:r w:rsidRPr="003F67DF">
              <w:t xml:space="preserve"> se transmite de către </w:t>
            </w:r>
            <w:r w:rsidR="00F67CFD">
              <w:t xml:space="preserve">procurorul general al Parchetului de pe lângă Înalta Curte de </w:t>
            </w:r>
            <w:proofErr w:type="spellStart"/>
            <w:r w:rsidR="00F67CFD">
              <w:t>Casaţie</w:t>
            </w:r>
            <w:proofErr w:type="spellEnd"/>
            <w:r w:rsidR="00F67CFD">
              <w:t xml:space="preserve"> </w:t>
            </w:r>
            <w:proofErr w:type="spellStart"/>
            <w:r w:rsidR="00F67CFD">
              <w:t>şi</w:t>
            </w:r>
            <w:proofErr w:type="spellEnd"/>
            <w:r w:rsidR="00F67CFD">
              <w:t xml:space="preserve"> </w:t>
            </w:r>
            <w:proofErr w:type="spellStart"/>
            <w:r w:rsidR="00F67CFD">
              <w:t>Justiţie</w:t>
            </w:r>
            <w:proofErr w:type="spellEnd"/>
            <w:r w:rsidR="003F67DF">
              <w:rPr>
                <w:iCs/>
              </w:rPr>
              <w:t xml:space="preserve"> sau, după caz, de procurorul general al parchetului de pe lângă curtea de apel,</w:t>
            </w:r>
            <w:r w:rsidRPr="003F67DF">
              <w:t xml:space="preserve"> Plenului Consiliului Superior al Magistraturii </w:t>
            </w:r>
            <w:proofErr w:type="spellStart"/>
            <w:r w:rsidRPr="003F67DF">
              <w:t>şi</w:t>
            </w:r>
            <w:proofErr w:type="spellEnd"/>
            <w:r w:rsidRPr="003F67DF">
              <w:t xml:space="preserve"> este </w:t>
            </w:r>
            <w:proofErr w:type="spellStart"/>
            <w:r w:rsidRPr="003F67DF">
              <w:t>însoţită</w:t>
            </w:r>
            <w:proofErr w:type="spellEnd"/>
            <w:r w:rsidRPr="003F67DF">
              <w:t xml:space="preserve"> de propunerea motivată a </w:t>
            </w:r>
            <w:r w:rsidR="00F67CFD" w:rsidRPr="00F67CFD">
              <w:t>procurorul</w:t>
            </w:r>
            <w:r w:rsidR="00D53A95">
              <w:t>ui</w:t>
            </w:r>
            <w:r w:rsidR="00F67CFD" w:rsidRPr="00F67CFD">
              <w:t xml:space="preserve"> general al Parchetului de pe lângă Înalta Curte de </w:t>
            </w:r>
            <w:proofErr w:type="spellStart"/>
            <w:r w:rsidR="00F67CFD" w:rsidRPr="00F67CFD">
              <w:t>Casaţie</w:t>
            </w:r>
            <w:proofErr w:type="spellEnd"/>
            <w:r w:rsidR="00F67CFD" w:rsidRPr="00F67CFD">
              <w:t xml:space="preserve"> </w:t>
            </w:r>
            <w:proofErr w:type="spellStart"/>
            <w:r w:rsidR="00F67CFD" w:rsidRPr="00F67CFD">
              <w:t>şi</w:t>
            </w:r>
            <w:proofErr w:type="spellEnd"/>
            <w:r w:rsidR="00F67CFD" w:rsidRPr="00F67CFD">
              <w:t xml:space="preserve"> </w:t>
            </w:r>
            <w:proofErr w:type="spellStart"/>
            <w:r w:rsidR="00F67CFD" w:rsidRPr="00F67CFD">
              <w:t>Justiţie</w:t>
            </w:r>
            <w:proofErr w:type="spellEnd"/>
            <w:r w:rsidR="00F67CFD" w:rsidRPr="00F67CFD">
              <w:t xml:space="preserve"> </w:t>
            </w:r>
            <w:r w:rsidR="003F67DF">
              <w:rPr>
                <w:iCs/>
              </w:rPr>
              <w:t>sau, după caz, a procurorului general al parchetului de pe lângă curtea de apel</w:t>
            </w:r>
            <w:r w:rsidRPr="001B6936">
              <w:t xml:space="preserve"> </w:t>
            </w:r>
            <w:r>
              <w:t xml:space="preserve">pentru desemnarea de către Plen a unuia sau mai multor procurori, în limita numărului prevăzut </w:t>
            </w:r>
            <w:r w:rsidR="00C31EEE">
              <w:t>de lege</w:t>
            </w:r>
            <w:r>
              <w:t>,</w:t>
            </w:r>
            <w:r w:rsidRPr="00C31EEE">
              <w:rPr>
                <w:rFonts w:cstheme="minorHAnsi"/>
                <w:iCs/>
              </w:rPr>
              <w:t xml:space="preserve"> precum şi de toate documentele relevante care atestă îndeplinirea </w:t>
            </w:r>
            <w:proofErr w:type="spellStart"/>
            <w:r w:rsidRPr="00C31EEE">
              <w:rPr>
                <w:rFonts w:cstheme="minorHAnsi"/>
                <w:iCs/>
              </w:rPr>
              <w:t>condiţiilor</w:t>
            </w:r>
            <w:proofErr w:type="spellEnd"/>
            <w:r w:rsidR="007A0ED8">
              <w:rPr>
                <w:rFonts w:cstheme="minorHAnsi"/>
                <w:iCs/>
              </w:rPr>
              <w:t xml:space="preserve"> prevăzute de lege</w:t>
            </w:r>
            <w:r w:rsidRPr="00C31EEE">
              <w:rPr>
                <w:rFonts w:cstheme="minorHAnsi"/>
                <w:iCs/>
              </w:rPr>
              <w:t xml:space="preserve">.  </w:t>
            </w:r>
          </w:p>
          <w:p w:rsidR="00512AE0" w:rsidRPr="00AC455E" w:rsidRDefault="00512AE0" w:rsidP="00537DEE">
            <w:pPr>
              <w:pStyle w:val="ListParagraph"/>
              <w:numPr>
                <w:ilvl w:val="0"/>
                <w:numId w:val="42"/>
              </w:numPr>
              <w:autoSpaceDE w:val="0"/>
              <w:autoSpaceDN w:val="0"/>
              <w:adjustRightInd w:val="0"/>
              <w:spacing w:after="0"/>
              <w:ind w:left="35" w:hanging="35"/>
              <w:rPr>
                <w:rFonts w:cstheme="minorHAnsi"/>
                <w:iCs/>
              </w:rPr>
            </w:pPr>
            <w:r w:rsidRPr="001B6936">
              <w:t xml:space="preserve">Plenul Consiliului Superior al Magistraturii desemnează </w:t>
            </w:r>
            <w:r w:rsidRPr="003F67DF">
              <w:t>procurorii care vor efectua urmărirea penală</w:t>
            </w:r>
            <w:r w:rsidR="003F67DF" w:rsidRPr="003F67DF">
              <w:t xml:space="preserve">, </w:t>
            </w:r>
            <w:proofErr w:type="spellStart"/>
            <w:r w:rsidRPr="003F67DF">
              <w:t>pronunţându</w:t>
            </w:r>
            <w:proofErr w:type="spellEnd"/>
            <w:r w:rsidRPr="003F67DF">
              <w:t>-se motivat asupra propunerilor formulate</w:t>
            </w:r>
            <w:r w:rsidRPr="003F67DF">
              <w:rPr>
                <w:iCs/>
              </w:rPr>
              <w:t>,</w:t>
            </w:r>
            <w:r w:rsidRPr="003F67DF">
              <w:t xml:space="preserve"> în termen de 30 de zile de la data primirii acestora. Plenul Consiliulu</w:t>
            </w:r>
            <w:r>
              <w:t xml:space="preserve">i </w:t>
            </w:r>
            <w:r w:rsidRPr="001B6936">
              <w:t xml:space="preserve">Superior al Magistraturii </w:t>
            </w:r>
            <w:r>
              <w:t xml:space="preserve">se va pronunța motivat şi în cazul </w:t>
            </w:r>
            <w:r w:rsidRPr="00AC455E">
              <w:t>respingerii propuneril</w:t>
            </w:r>
            <w:r w:rsidR="00AC455E" w:rsidRPr="00AC455E">
              <w:t>or</w:t>
            </w:r>
            <w:r w:rsidRPr="00AC455E">
              <w:t xml:space="preserve"> formulate</w:t>
            </w:r>
            <w:r w:rsidRPr="00AC455E">
              <w:rPr>
                <w:iCs/>
              </w:rPr>
              <w:t>.</w:t>
            </w:r>
            <w:r w:rsidRPr="00AC455E">
              <w:t xml:space="preserve"> În procedura de desemnare, dacă apreciază necesar</w:t>
            </w:r>
            <w:r w:rsidR="00AB52AD">
              <w:t>,</w:t>
            </w:r>
            <w:r w:rsidRPr="00AC455E">
              <w:t xml:space="preserve"> Plenul Consiliului Superior al Magistraturii poate invita procurorii </w:t>
            </w:r>
            <w:proofErr w:type="spellStart"/>
            <w:r w:rsidRPr="00AC455E">
              <w:t>propuşi</w:t>
            </w:r>
            <w:proofErr w:type="spellEnd"/>
            <w:r w:rsidRPr="00AC455E">
              <w:t xml:space="preserve"> a fi </w:t>
            </w:r>
            <w:proofErr w:type="spellStart"/>
            <w:r w:rsidRPr="00AC455E">
              <w:t>desemnaţi</w:t>
            </w:r>
            <w:proofErr w:type="spellEnd"/>
            <w:r w:rsidRPr="00AC455E">
              <w:rPr>
                <w:iCs/>
              </w:rPr>
              <w:t xml:space="preserve"> în vederea </w:t>
            </w:r>
            <w:proofErr w:type="spellStart"/>
            <w:r w:rsidRPr="00AC455E">
              <w:rPr>
                <w:iCs/>
              </w:rPr>
              <w:t>susţinerii</w:t>
            </w:r>
            <w:proofErr w:type="spellEnd"/>
            <w:r w:rsidRPr="00AC455E">
              <w:rPr>
                <w:iCs/>
              </w:rPr>
              <w:t xml:space="preserve"> unui interviu</w:t>
            </w:r>
            <w:r w:rsidRPr="00AC455E">
              <w:t xml:space="preserve">.  </w:t>
            </w:r>
          </w:p>
          <w:p w:rsidR="00AC455E" w:rsidRPr="00AC455E" w:rsidRDefault="00F67CFD" w:rsidP="00537DEE">
            <w:pPr>
              <w:pStyle w:val="ListParagraph"/>
              <w:numPr>
                <w:ilvl w:val="0"/>
                <w:numId w:val="30"/>
              </w:numPr>
              <w:autoSpaceDE w:val="0"/>
              <w:autoSpaceDN w:val="0"/>
              <w:spacing w:after="0"/>
              <w:ind w:left="35" w:firstLine="0"/>
              <w:rPr>
                <w:rStyle w:val="l5def2"/>
                <w:rFonts w:ascii="Trebuchet MS" w:hAnsi="Trebuchet MS"/>
                <w:sz w:val="22"/>
                <w:szCs w:val="22"/>
              </w:rPr>
            </w:pPr>
            <w:r>
              <w:rPr>
                <w:rStyle w:val="l5def2"/>
                <w:rFonts w:ascii="Trebuchet MS" w:hAnsi="Trebuchet MS"/>
                <w:sz w:val="22"/>
                <w:szCs w:val="22"/>
              </w:rPr>
              <w:t xml:space="preserve">Procurorul general al Parchetului de pe lângă Înalta Curte de </w:t>
            </w:r>
            <w:proofErr w:type="spellStart"/>
            <w:r>
              <w:rPr>
                <w:rStyle w:val="l5def2"/>
                <w:rFonts w:ascii="Trebuchet MS" w:hAnsi="Trebuchet MS"/>
                <w:sz w:val="22"/>
                <w:szCs w:val="22"/>
              </w:rPr>
              <w:t>Casaţie</w:t>
            </w:r>
            <w:proofErr w:type="spellEnd"/>
            <w:r>
              <w:rPr>
                <w:rStyle w:val="l5def2"/>
                <w:rFonts w:ascii="Trebuchet MS" w:hAnsi="Trebuchet MS"/>
                <w:sz w:val="22"/>
                <w:szCs w:val="22"/>
              </w:rPr>
              <w:t xml:space="preserve"> </w:t>
            </w:r>
            <w:proofErr w:type="spellStart"/>
            <w:r>
              <w:rPr>
                <w:rStyle w:val="l5def2"/>
                <w:rFonts w:ascii="Trebuchet MS" w:hAnsi="Trebuchet MS"/>
                <w:sz w:val="22"/>
                <w:szCs w:val="22"/>
              </w:rPr>
              <w:t>şi</w:t>
            </w:r>
            <w:proofErr w:type="spellEnd"/>
            <w:r>
              <w:rPr>
                <w:rStyle w:val="l5def2"/>
                <w:rFonts w:ascii="Trebuchet MS" w:hAnsi="Trebuchet MS"/>
                <w:sz w:val="22"/>
                <w:szCs w:val="22"/>
              </w:rPr>
              <w:t xml:space="preserve"> </w:t>
            </w:r>
            <w:proofErr w:type="spellStart"/>
            <w:r>
              <w:rPr>
                <w:rStyle w:val="l5def2"/>
                <w:rFonts w:ascii="Trebuchet MS" w:hAnsi="Trebuchet MS"/>
                <w:sz w:val="22"/>
                <w:szCs w:val="22"/>
              </w:rPr>
              <w:t>Justiţie</w:t>
            </w:r>
            <w:proofErr w:type="spellEnd"/>
            <w:r>
              <w:rPr>
                <w:rStyle w:val="l5def2"/>
                <w:rFonts w:ascii="Trebuchet MS" w:hAnsi="Trebuchet MS"/>
                <w:sz w:val="22"/>
                <w:szCs w:val="22"/>
              </w:rPr>
              <w:t xml:space="preserve"> (la propunerea p</w:t>
            </w:r>
            <w:r w:rsidR="00AC455E" w:rsidRPr="00AC455E">
              <w:rPr>
                <w:rStyle w:val="l5def2"/>
                <w:rFonts w:ascii="Trebuchet MS" w:hAnsi="Trebuchet MS"/>
                <w:sz w:val="22"/>
                <w:szCs w:val="22"/>
              </w:rPr>
              <w:t>rocurorul</w:t>
            </w:r>
            <w:r>
              <w:rPr>
                <w:rStyle w:val="l5def2"/>
                <w:rFonts w:ascii="Trebuchet MS" w:hAnsi="Trebuchet MS"/>
                <w:sz w:val="22"/>
                <w:szCs w:val="22"/>
              </w:rPr>
              <w:t>ui</w:t>
            </w:r>
            <w:r w:rsidR="00AC455E" w:rsidRPr="00AC455E">
              <w:rPr>
                <w:rStyle w:val="l5def2"/>
                <w:rFonts w:ascii="Trebuchet MS" w:hAnsi="Trebuchet MS"/>
                <w:sz w:val="22"/>
                <w:szCs w:val="22"/>
              </w:rPr>
              <w:t>-</w:t>
            </w:r>
            <w:proofErr w:type="spellStart"/>
            <w:r w:rsidR="00AC455E" w:rsidRPr="00AC455E">
              <w:rPr>
                <w:rStyle w:val="l5def2"/>
                <w:rFonts w:ascii="Trebuchet MS" w:hAnsi="Trebuchet MS"/>
                <w:sz w:val="22"/>
                <w:szCs w:val="22"/>
              </w:rPr>
              <w:t>şef</w:t>
            </w:r>
            <w:proofErr w:type="spellEnd"/>
            <w:r w:rsidR="00AC455E" w:rsidRPr="00AC455E">
              <w:rPr>
                <w:rStyle w:val="l5def2"/>
                <w:rFonts w:ascii="Trebuchet MS" w:hAnsi="Trebuchet MS"/>
                <w:sz w:val="22"/>
                <w:szCs w:val="22"/>
              </w:rPr>
              <w:t xml:space="preserve"> al Secției </w:t>
            </w:r>
            <w:r w:rsidR="00AC455E" w:rsidRPr="00AC455E">
              <w:rPr>
                <w:iCs/>
              </w:rPr>
              <w:t>de urmărire penală și criminalistică</w:t>
            </w:r>
            <w:r w:rsidR="00AC455E" w:rsidRPr="00AC455E">
              <w:t xml:space="preserve"> din cadrul Parchetului de pe lângă Înalta Curte de </w:t>
            </w:r>
            <w:proofErr w:type="spellStart"/>
            <w:r w:rsidR="00AC455E" w:rsidRPr="00AC455E">
              <w:t>Casaţie</w:t>
            </w:r>
            <w:proofErr w:type="spellEnd"/>
            <w:r w:rsidR="00AC455E" w:rsidRPr="00AC455E">
              <w:t xml:space="preserve"> </w:t>
            </w:r>
            <w:proofErr w:type="spellStart"/>
            <w:r w:rsidR="00AC455E" w:rsidRPr="00AC455E">
              <w:t>şi</w:t>
            </w:r>
            <w:proofErr w:type="spellEnd"/>
            <w:r w:rsidR="00AC455E" w:rsidRPr="00AC455E">
              <w:t xml:space="preserve"> </w:t>
            </w:r>
            <w:proofErr w:type="spellStart"/>
            <w:r w:rsidR="00AC455E" w:rsidRPr="00AC455E">
              <w:t>Justiţie</w:t>
            </w:r>
            <w:proofErr w:type="spellEnd"/>
            <w:r>
              <w:t>)</w:t>
            </w:r>
            <w:r w:rsidR="00AC455E" w:rsidRPr="00AC455E">
              <w:t>, respectiv procurorul general al parchetului de pe lângă curtea de apel</w:t>
            </w:r>
            <w:r w:rsidR="00AC455E" w:rsidRPr="00AC455E" w:rsidDel="004F0D34">
              <w:rPr>
                <w:rStyle w:val="l5def2"/>
                <w:rFonts w:ascii="Trebuchet MS" w:hAnsi="Trebuchet MS"/>
                <w:sz w:val="22"/>
                <w:szCs w:val="22"/>
              </w:rPr>
              <w:t xml:space="preserve"> </w:t>
            </w:r>
            <w:r w:rsidR="00AC455E" w:rsidRPr="00AC455E">
              <w:rPr>
                <w:rStyle w:val="l5def2"/>
                <w:rFonts w:ascii="Trebuchet MS" w:hAnsi="Trebuchet MS"/>
                <w:sz w:val="22"/>
                <w:szCs w:val="22"/>
              </w:rPr>
              <w:t xml:space="preserve">poate propune Plenului Consiliului Superior al Magistraturii încetarea </w:t>
            </w:r>
            <w:proofErr w:type="spellStart"/>
            <w:r w:rsidR="00AC455E" w:rsidRPr="00AC455E">
              <w:rPr>
                <w:rStyle w:val="l5def2"/>
                <w:rFonts w:ascii="Trebuchet MS" w:hAnsi="Trebuchet MS"/>
                <w:sz w:val="22"/>
                <w:szCs w:val="22"/>
              </w:rPr>
              <w:t>calităţii</w:t>
            </w:r>
            <w:proofErr w:type="spellEnd"/>
            <w:r w:rsidR="00AC455E" w:rsidRPr="00AC455E">
              <w:rPr>
                <w:rStyle w:val="l5def2"/>
                <w:rFonts w:ascii="Trebuchet MS" w:hAnsi="Trebuchet MS"/>
                <w:sz w:val="22"/>
                <w:szCs w:val="22"/>
              </w:rPr>
              <w:t xml:space="preserve"> de procuror desemnat în următoarele cazuri:</w:t>
            </w:r>
          </w:p>
          <w:p w:rsidR="00AC455E" w:rsidRPr="00AC455E" w:rsidRDefault="00AC455E" w:rsidP="00537DEE">
            <w:pPr>
              <w:autoSpaceDE w:val="0"/>
              <w:autoSpaceDN w:val="0"/>
              <w:spacing w:after="0"/>
              <w:ind w:left="35"/>
              <w:rPr>
                <w:rStyle w:val="l5def2"/>
                <w:rFonts w:ascii="Trebuchet MS" w:hAnsi="Trebuchet MS"/>
                <w:sz w:val="22"/>
                <w:szCs w:val="22"/>
              </w:rPr>
            </w:pPr>
            <w:r w:rsidRPr="00AC455E">
              <w:rPr>
                <w:rStyle w:val="l5def2"/>
                <w:rFonts w:ascii="Trebuchet MS" w:hAnsi="Trebuchet MS"/>
                <w:sz w:val="22"/>
                <w:szCs w:val="22"/>
              </w:rPr>
              <w:lastRenderedPageBreak/>
              <w:t xml:space="preserve">a) pentru ineficiență profesională apreciată în </w:t>
            </w:r>
            <w:proofErr w:type="spellStart"/>
            <w:r w:rsidRPr="00AC455E">
              <w:rPr>
                <w:rStyle w:val="l5def2"/>
                <w:rFonts w:ascii="Trebuchet MS" w:hAnsi="Trebuchet MS"/>
                <w:sz w:val="22"/>
                <w:szCs w:val="22"/>
              </w:rPr>
              <w:t>funcţie</w:t>
            </w:r>
            <w:proofErr w:type="spellEnd"/>
            <w:r w:rsidRPr="00AC455E">
              <w:rPr>
                <w:rStyle w:val="l5def2"/>
                <w:rFonts w:ascii="Trebuchet MS" w:hAnsi="Trebuchet MS"/>
                <w:sz w:val="22"/>
                <w:szCs w:val="22"/>
              </w:rPr>
              <w:t xml:space="preserve"> de </w:t>
            </w:r>
            <w:proofErr w:type="spellStart"/>
            <w:r w:rsidRPr="00AC455E">
              <w:rPr>
                <w:rStyle w:val="l5def2"/>
                <w:rFonts w:ascii="Trebuchet MS" w:hAnsi="Trebuchet MS"/>
                <w:sz w:val="22"/>
                <w:szCs w:val="22"/>
              </w:rPr>
              <w:t>eficienţa</w:t>
            </w:r>
            <w:proofErr w:type="spellEnd"/>
            <w:r w:rsidRPr="00AC455E">
              <w:rPr>
                <w:rStyle w:val="l5def2"/>
                <w:rFonts w:ascii="Trebuchet MS" w:hAnsi="Trebuchet MS"/>
                <w:sz w:val="22"/>
                <w:szCs w:val="22"/>
              </w:rPr>
              <w:t xml:space="preserve"> </w:t>
            </w:r>
            <w:proofErr w:type="spellStart"/>
            <w:r w:rsidRPr="00AC455E">
              <w:rPr>
                <w:rStyle w:val="l5def2"/>
                <w:rFonts w:ascii="Trebuchet MS" w:hAnsi="Trebuchet MS"/>
                <w:sz w:val="22"/>
                <w:szCs w:val="22"/>
              </w:rPr>
              <w:t>şi</w:t>
            </w:r>
            <w:proofErr w:type="spellEnd"/>
            <w:r w:rsidRPr="00AC455E">
              <w:rPr>
                <w:rStyle w:val="l5def2"/>
                <w:rFonts w:ascii="Trebuchet MS" w:hAnsi="Trebuchet MS"/>
                <w:sz w:val="22"/>
                <w:szCs w:val="22"/>
              </w:rPr>
              <w:t xml:space="preserve"> calitatea activităţii;</w:t>
            </w:r>
          </w:p>
          <w:p w:rsidR="00AC455E" w:rsidRPr="00AC455E" w:rsidRDefault="00AC455E" w:rsidP="00537DEE">
            <w:pPr>
              <w:autoSpaceDE w:val="0"/>
              <w:autoSpaceDN w:val="0"/>
              <w:spacing w:after="0"/>
              <w:ind w:left="35"/>
              <w:rPr>
                <w:rStyle w:val="l5def2"/>
                <w:rFonts w:ascii="Trebuchet MS" w:hAnsi="Trebuchet MS"/>
                <w:sz w:val="22"/>
                <w:szCs w:val="22"/>
              </w:rPr>
            </w:pPr>
            <w:r w:rsidRPr="00AC455E">
              <w:rPr>
                <w:rStyle w:val="l5def2"/>
                <w:rFonts w:ascii="Trebuchet MS" w:hAnsi="Trebuchet MS"/>
                <w:sz w:val="22"/>
                <w:szCs w:val="22"/>
              </w:rPr>
              <w:t>b) la cererea procurorului desemnat, pentru motive temeinic justificate;</w:t>
            </w:r>
          </w:p>
          <w:p w:rsidR="00AC455E" w:rsidRPr="005E4686" w:rsidRDefault="00AC455E" w:rsidP="00537DEE">
            <w:pPr>
              <w:autoSpaceDE w:val="0"/>
              <w:autoSpaceDN w:val="0"/>
              <w:spacing w:after="0"/>
              <w:ind w:left="35"/>
              <w:rPr>
                <w:rStyle w:val="l5def2"/>
                <w:rFonts w:ascii="Trebuchet MS" w:hAnsi="Trebuchet MS"/>
                <w:sz w:val="22"/>
                <w:szCs w:val="22"/>
              </w:rPr>
            </w:pPr>
            <w:r w:rsidRPr="005E4686">
              <w:rPr>
                <w:rStyle w:val="l5def2"/>
                <w:rFonts w:ascii="Trebuchet MS" w:hAnsi="Trebuchet MS"/>
                <w:sz w:val="22"/>
                <w:szCs w:val="22"/>
              </w:rPr>
              <w:t xml:space="preserve">c) în </w:t>
            </w:r>
            <w:proofErr w:type="spellStart"/>
            <w:r w:rsidRPr="005E4686">
              <w:rPr>
                <w:rStyle w:val="l5def2"/>
                <w:rFonts w:ascii="Trebuchet MS" w:hAnsi="Trebuchet MS"/>
                <w:sz w:val="22"/>
                <w:szCs w:val="22"/>
              </w:rPr>
              <w:t>situaţia</w:t>
            </w:r>
            <w:proofErr w:type="spellEnd"/>
            <w:r w:rsidRPr="005E4686">
              <w:rPr>
                <w:rStyle w:val="l5def2"/>
                <w:rFonts w:ascii="Trebuchet MS" w:hAnsi="Trebuchet MS"/>
                <w:sz w:val="22"/>
                <w:szCs w:val="22"/>
              </w:rPr>
              <w:t xml:space="preserve"> aplicării unei </w:t>
            </w:r>
            <w:proofErr w:type="spellStart"/>
            <w:r w:rsidRPr="005E4686">
              <w:rPr>
                <w:rStyle w:val="l5def2"/>
                <w:rFonts w:ascii="Trebuchet MS" w:hAnsi="Trebuchet MS"/>
                <w:sz w:val="22"/>
                <w:szCs w:val="22"/>
              </w:rPr>
              <w:t>sancţiuni</w:t>
            </w:r>
            <w:proofErr w:type="spellEnd"/>
            <w:r w:rsidRPr="005E4686">
              <w:rPr>
                <w:rStyle w:val="l5def2"/>
                <w:rFonts w:ascii="Trebuchet MS" w:hAnsi="Trebuchet MS"/>
                <w:sz w:val="22"/>
                <w:szCs w:val="22"/>
              </w:rPr>
              <w:t xml:space="preserve"> disciplinare;</w:t>
            </w:r>
          </w:p>
          <w:p w:rsidR="00AC455E" w:rsidRPr="005E4686" w:rsidRDefault="00AC455E" w:rsidP="00537DEE">
            <w:pPr>
              <w:autoSpaceDE w:val="0"/>
              <w:autoSpaceDN w:val="0"/>
              <w:spacing w:after="0"/>
              <w:ind w:left="35"/>
              <w:rPr>
                <w:rStyle w:val="l5def2"/>
                <w:rFonts w:ascii="Trebuchet MS" w:hAnsi="Trebuchet MS"/>
                <w:sz w:val="22"/>
                <w:szCs w:val="22"/>
              </w:rPr>
            </w:pPr>
            <w:r w:rsidRPr="005E4686">
              <w:rPr>
                <w:rStyle w:val="l5def2"/>
                <w:rFonts w:ascii="Trebuchet MS" w:hAnsi="Trebuchet MS"/>
                <w:sz w:val="22"/>
                <w:szCs w:val="22"/>
              </w:rPr>
              <w:t xml:space="preserve">d) </w:t>
            </w:r>
            <w:r w:rsidRPr="005E4686">
              <w:t xml:space="preserve">imposibilitatea exercitării </w:t>
            </w:r>
            <w:proofErr w:type="spellStart"/>
            <w:r w:rsidRPr="005E4686">
              <w:t>atribuţiilor</w:t>
            </w:r>
            <w:proofErr w:type="spellEnd"/>
            <w:r w:rsidRPr="005E4686">
              <w:t xml:space="preserve"> pe o perioadă mai mare de 3 luni de către procurorul desemnat.</w:t>
            </w:r>
            <w:r w:rsidRPr="005E4686">
              <w:rPr>
                <w:rStyle w:val="l5def2"/>
                <w:rFonts w:ascii="Trebuchet MS" w:hAnsi="Trebuchet MS"/>
                <w:sz w:val="22"/>
                <w:szCs w:val="22"/>
              </w:rPr>
              <w:t xml:space="preserve"> </w:t>
            </w:r>
          </w:p>
          <w:p w:rsidR="00AC455E" w:rsidRPr="005E4686" w:rsidRDefault="00AC455E" w:rsidP="00537DEE">
            <w:pPr>
              <w:autoSpaceDE w:val="0"/>
              <w:autoSpaceDN w:val="0"/>
              <w:spacing w:after="0"/>
              <w:ind w:left="35"/>
            </w:pPr>
          </w:p>
          <w:p w:rsidR="001B663C" w:rsidRPr="005E4686" w:rsidRDefault="009A7F4B" w:rsidP="00537DEE">
            <w:pPr>
              <w:autoSpaceDE w:val="0"/>
              <w:autoSpaceDN w:val="0"/>
              <w:adjustRightInd w:val="0"/>
              <w:spacing w:after="0"/>
              <w:ind w:left="35"/>
              <w:rPr>
                <w:rStyle w:val="l5def2"/>
                <w:rFonts w:ascii="Trebuchet MS" w:hAnsi="Trebuchet MS"/>
                <w:sz w:val="22"/>
                <w:szCs w:val="22"/>
              </w:rPr>
            </w:pPr>
            <w:r w:rsidRPr="005E4686">
              <w:t>P</w:t>
            </w:r>
            <w:r w:rsidR="002E65A5" w:rsidRPr="005E4686">
              <w:t xml:space="preserve">entru </w:t>
            </w:r>
            <w:r w:rsidR="00BF0E1E" w:rsidRPr="005E4686">
              <w:t xml:space="preserve">evitarea unor </w:t>
            </w:r>
            <w:r w:rsidR="002E65A5" w:rsidRPr="005E4686">
              <w:t xml:space="preserve">interpretări neunitare ale </w:t>
            </w:r>
            <w:proofErr w:type="spellStart"/>
            <w:r w:rsidR="002E65A5" w:rsidRPr="005E4686">
              <w:t>dispoziţiilor</w:t>
            </w:r>
            <w:proofErr w:type="spellEnd"/>
            <w:r w:rsidR="002E65A5" w:rsidRPr="005E4686">
              <w:t xml:space="preserve"> referitoare la </w:t>
            </w:r>
            <w:proofErr w:type="spellStart"/>
            <w:r w:rsidR="002E65A5" w:rsidRPr="005E4686">
              <w:t>competenţa</w:t>
            </w:r>
            <w:proofErr w:type="spellEnd"/>
            <w:r w:rsidR="002E65A5" w:rsidRPr="005E4686">
              <w:t xml:space="preserve"> de efectuare a urmării penale în cazul infracţiunilor săvârşite de </w:t>
            </w:r>
            <w:r w:rsidR="00874FC7" w:rsidRPr="005E4686">
              <w:t>judecători şi procurori</w:t>
            </w:r>
            <w:r w:rsidR="002E65A5" w:rsidRPr="005E4686">
              <w:t xml:space="preserve">,  </w:t>
            </w:r>
            <w:r w:rsidR="00874FC7" w:rsidRPr="005E4686">
              <w:t>se impune</w:t>
            </w:r>
            <w:r w:rsidR="002E65A5" w:rsidRPr="005E4686">
              <w:t xml:space="preserve"> reglementarea faptului că </w:t>
            </w:r>
            <w:r w:rsidR="005E4686" w:rsidRPr="005E4686">
              <w:rPr>
                <w:rStyle w:val="l5def2"/>
                <w:rFonts w:ascii="Trebuchet MS" w:hAnsi="Trebuchet MS"/>
                <w:sz w:val="22"/>
                <w:szCs w:val="22"/>
              </w:rPr>
              <w:t xml:space="preserve">procurorii cu </w:t>
            </w:r>
            <w:proofErr w:type="spellStart"/>
            <w:r w:rsidR="005E4686" w:rsidRPr="005E4686">
              <w:rPr>
                <w:rStyle w:val="l5def2"/>
                <w:rFonts w:ascii="Trebuchet MS" w:hAnsi="Trebuchet MS"/>
                <w:sz w:val="22"/>
                <w:szCs w:val="22"/>
              </w:rPr>
              <w:t>funcţii</w:t>
            </w:r>
            <w:proofErr w:type="spellEnd"/>
            <w:r w:rsidR="005E4686" w:rsidRPr="005E4686">
              <w:rPr>
                <w:rStyle w:val="l5def2"/>
                <w:rFonts w:ascii="Trebuchet MS" w:hAnsi="Trebuchet MS"/>
                <w:sz w:val="22"/>
                <w:szCs w:val="22"/>
              </w:rPr>
              <w:t xml:space="preserve"> de conducere </w:t>
            </w:r>
            <w:r w:rsidR="00EC7B6C" w:rsidRPr="005E4686">
              <w:t xml:space="preserve">își îndeplinesc atribuțiile </w:t>
            </w:r>
            <w:r w:rsidR="001B663C" w:rsidRPr="005E4686">
              <w:t xml:space="preserve">de procuror ierarhic superior ai procurorilor anume desemnaţi </w:t>
            </w:r>
            <w:r w:rsidR="005E4686">
              <w:t xml:space="preserve">fără a fi necesară </w:t>
            </w:r>
            <w:r w:rsidR="001B663C" w:rsidRPr="005E4686">
              <w:t xml:space="preserve">desemnarea </w:t>
            </w:r>
            <w:r w:rsidR="005E4686">
              <w:t xml:space="preserve">lor </w:t>
            </w:r>
            <w:r w:rsidR="001B663C" w:rsidRPr="005E4686">
              <w:t xml:space="preserve">potrivit </w:t>
            </w:r>
            <w:proofErr w:type="spellStart"/>
            <w:r w:rsidR="001B663C" w:rsidRPr="005E4686">
              <w:t>dispoziţiilor</w:t>
            </w:r>
            <w:proofErr w:type="spellEnd"/>
            <w:r w:rsidR="001B663C" w:rsidRPr="005E4686">
              <w:t xml:space="preserve"> </w:t>
            </w:r>
            <w:r w:rsidR="005E4686">
              <w:t>proiectului</w:t>
            </w:r>
            <w:r w:rsidR="001B663C" w:rsidRPr="005E4686">
              <w:rPr>
                <w:rStyle w:val="l5def2"/>
                <w:rFonts w:ascii="Trebuchet MS" w:hAnsi="Trebuchet MS"/>
                <w:sz w:val="22"/>
                <w:szCs w:val="22"/>
              </w:rPr>
              <w:t xml:space="preserve">. </w:t>
            </w:r>
          </w:p>
          <w:p w:rsidR="005E4686" w:rsidRDefault="005E4686" w:rsidP="00537DEE">
            <w:pPr>
              <w:pStyle w:val="ListParagraph"/>
              <w:tabs>
                <w:tab w:val="left" w:pos="177"/>
                <w:tab w:val="left" w:pos="319"/>
              </w:tabs>
              <w:spacing w:after="0"/>
              <w:ind w:left="0"/>
              <w:contextualSpacing w:val="0"/>
            </w:pPr>
          </w:p>
          <w:p w:rsidR="002E65A5" w:rsidRPr="00CA1F0A" w:rsidRDefault="00BF0E1E" w:rsidP="00537DEE">
            <w:pPr>
              <w:pStyle w:val="ListParagraph"/>
              <w:tabs>
                <w:tab w:val="left" w:pos="177"/>
                <w:tab w:val="left" w:pos="319"/>
              </w:tabs>
              <w:spacing w:after="0"/>
              <w:ind w:left="0"/>
              <w:contextualSpacing w:val="0"/>
            </w:pPr>
            <w:r w:rsidRPr="00CA1F0A">
              <w:t>Proiectul prevede expres n</w:t>
            </w:r>
            <w:r w:rsidR="002E65A5" w:rsidRPr="00CA1F0A">
              <w:t xml:space="preserve">umărul maxim de procurori </w:t>
            </w:r>
            <w:r w:rsidRPr="00CA1F0A">
              <w:t xml:space="preserve">ce sunt </w:t>
            </w:r>
            <w:r w:rsidR="002E65A5" w:rsidRPr="00CA1F0A">
              <w:t xml:space="preserve">desemnaţi: </w:t>
            </w:r>
          </w:p>
          <w:p w:rsidR="00AD2C11" w:rsidRPr="00CA1F0A" w:rsidRDefault="00AC455E" w:rsidP="00537DEE">
            <w:pPr>
              <w:pStyle w:val="ListParagraph"/>
              <w:numPr>
                <w:ilvl w:val="0"/>
                <w:numId w:val="41"/>
              </w:numPr>
              <w:tabs>
                <w:tab w:val="left" w:pos="177"/>
                <w:tab w:val="left" w:pos="319"/>
              </w:tabs>
              <w:spacing w:after="0"/>
              <w:contextualSpacing w:val="0"/>
            </w:pPr>
            <w:r>
              <w:t>12</w:t>
            </w:r>
            <w:r w:rsidR="002E65A5" w:rsidRPr="00CA1F0A">
              <w:t xml:space="preserve"> </w:t>
            </w:r>
            <w:r w:rsidR="005E4686">
              <w:t>în</w:t>
            </w:r>
            <w:r w:rsidR="005E4686" w:rsidRPr="00CA1F0A">
              <w:t xml:space="preserve"> </w:t>
            </w:r>
            <w:r w:rsidR="002E65A5" w:rsidRPr="00CA1F0A">
              <w:t xml:space="preserve">cadrul </w:t>
            </w:r>
            <w:proofErr w:type="spellStart"/>
            <w:r w:rsidR="002E65A5" w:rsidRPr="00CA1F0A">
              <w:t>Secţiei</w:t>
            </w:r>
            <w:proofErr w:type="spellEnd"/>
            <w:r w:rsidR="002E65A5" w:rsidRPr="00CA1F0A">
              <w:t xml:space="preserve"> de urmărire penală şi criminalistică;</w:t>
            </w:r>
          </w:p>
          <w:p w:rsidR="002E65A5" w:rsidRDefault="002E65A5" w:rsidP="00537DEE">
            <w:pPr>
              <w:pStyle w:val="ListParagraph"/>
              <w:numPr>
                <w:ilvl w:val="0"/>
                <w:numId w:val="41"/>
              </w:numPr>
              <w:tabs>
                <w:tab w:val="left" w:pos="177"/>
                <w:tab w:val="left" w:pos="319"/>
              </w:tabs>
              <w:spacing w:after="0"/>
              <w:contextualSpacing w:val="0"/>
            </w:pPr>
            <w:r w:rsidRPr="00CA1F0A">
              <w:t>câte doi pentru fiecare parchet de pe lângă curtea de apel.</w:t>
            </w:r>
          </w:p>
          <w:p w:rsidR="00F67CFD" w:rsidRDefault="00F67CFD" w:rsidP="00F67CFD">
            <w:pPr>
              <w:tabs>
                <w:tab w:val="left" w:pos="177"/>
                <w:tab w:val="left" w:pos="319"/>
              </w:tabs>
              <w:spacing w:after="0"/>
              <w:ind w:left="0"/>
            </w:pPr>
          </w:p>
          <w:p w:rsidR="00F67CFD" w:rsidRDefault="00F67CFD" w:rsidP="00A20564">
            <w:pPr>
              <w:pStyle w:val="ListParagraph"/>
              <w:numPr>
                <w:ilvl w:val="0"/>
                <w:numId w:val="30"/>
              </w:numPr>
              <w:spacing w:after="0"/>
              <w:ind w:left="-105" w:firstLine="14"/>
            </w:pPr>
            <w:r>
              <w:t xml:space="preserve">Pentru </w:t>
            </w:r>
            <w:proofErr w:type="spellStart"/>
            <w:r>
              <w:t>situaţiile</w:t>
            </w:r>
            <w:proofErr w:type="spellEnd"/>
            <w:r>
              <w:t xml:space="preserve"> obiective, </w:t>
            </w:r>
            <w:r w:rsidRPr="00F67CFD">
              <w:t>în care procurorul desemnat se află în imposibilitate de a-</w:t>
            </w:r>
            <w:proofErr w:type="spellStart"/>
            <w:r w:rsidRPr="00F67CFD">
              <w:t>şi</w:t>
            </w:r>
            <w:proofErr w:type="spellEnd"/>
            <w:r w:rsidRPr="00F67CFD">
              <w:t xml:space="preserve"> exercita </w:t>
            </w:r>
            <w:proofErr w:type="spellStart"/>
            <w:r w:rsidRPr="00F67CFD">
              <w:t>atribuţiile</w:t>
            </w:r>
            <w:proofErr w:type="spellEnd"/>
            <w:r w:rsidRPr="00F67CFD">
              <w:t xml:space="preserve"> pe o perioadă mai mare de 3 luni sau în caz de incompatibilitate, iar în cadrul parchetului nu există un alt procuror anume desemna</w:t>
            </w:r>
            <w:r w:rsidR="0031239A">
              <w:t>t</w:t>
            </w:r>
            <w:r w:rsidR="00A20564">
              <w:t>, sau în cazul în care procurorul desemnat se află în imposibilitate de a-</w:t>
            </w:r>
            <w:proofErr w:type="spellStart"/>
            <w:r w:rsidR="00A20564">
              <w:t>şi</w:t>
            </w:r>
            <w:proofErr w:type="spellEnd"/>
            <w:r w:rsidR="00A20564">
              <w:t xml:space="preserve"> exercita </w:t>
            </w:r>
            <w:proofErr w:type="spellStart"/>
            <w:r w:rsidR="00A20564">
              <w:t>atribuţiile</w:t>
            </w:r>
            <w:proofErr w:type="spellEnd"/>
            <w:r w:rsidR="00A20564">
              <w:t xml:space="preserve"> pe o perioadă mai mică de 3 luni</w:t>
            </w:r>
            <w:r w:rsidR="005A6789">
              <w:t>,</w:t>
            </w:r>
            <w:r w:rsidR="00A20564">
              <w:t xml:space="preserve"> pentru efectuarea actelor de urmărire penală care nu suferă amânare, iar în cadrul parchetului nu există un alt procuror anume desemnat, urmărirea penală se efectuează de p</w:t>
            </w:r>
            <w:r>
              <w:t>rocurorul-</w:t>
            </w:r>
            <w:proofErr w:type="spellStart"/>
            <w:r>
              <w:t>şef</w:t>
            </w:r>
            <w:proofErr w:type="spellEnd"/>
            <w:r>
              <w:t xml:space="preserve"> al </w:t>
            </w:r>
            <w:proofErr w:type="spellStart"/>
            <w:r>
              <w:t>Secţiei</w:t>
            </w:r>
            <w:proofErr w:type="spellEnd"/>
            <w:r>
              <w:t xml:space="preserve"> de urmărire penală </w:t>
            </w:r>
            <w:proofErr w:type="spellStart"/>
            <w:r>
              <w:t>şi</w:t>
            </w:r>
            <w:proofErr w:type="spellEnd"/>
            <w:r>
              <w:t xml:space="preserve"> criminalistică din cadrul Parchetului de pe lângă Înalta Curte de </w:t>
            </w:r>
            <w:proofErr w:type="spellStart"/>
            <w:r>
              <w:t>Casaţie</w:t>
            </w:r>
            <w:proofErr w:type="spellEnd"/>
            <w:r>
              <w:t xml:space="preserve"> </w:t>
            </w:r>
            <w:proofErr w:type="spellStart"/>
            <w:r>
              <w:t>şi</w:t>
            </w:r>
            <w:proofErr w:type="spellEnd"/>
            <w:r>
              <w:t xml:space="preserve"> </w:t>
            </w:r>
            <w:proofErr w:type="spellStart"/>
            <w:r>
              <w:t>Justiţie</w:t>
            </w:r>
            <w:proofErr w:type="spellEnd"/>
            <w:r w:rsidR="00A20564">
              <w:t xml:space="preserve"> sau, după caz, de </w:t>
            </w:r>
            <w:r>
              <w:t>procurorul general al parchetului de pe lângă curtea de apel</w:t>
            </w:r>
            <w:r w:rsidR="00A20564">
              <w:t>.</w:t>
            </w:r>
          </w:p>
          <w:p w:rsidR="00A20564" w:rsidRPr="00CA1F0A" w:rsidRDefault="00A20564" w:rsidP="000C5E8C">
            <w:pPr>
              <w:pStyle w:val="ListParagraph"/>
              <w:spacing w:after="0"/>
              <w:ind w:left="-91"/>
            </w:pPr>
          </w:p>
          <w:p w:rsidR="00582B29" w:rsidRPr="00D53A95" w:rsidRDefault="00FD3728" w:rsidP="00537DEE">
            <w:pPr>
              <w:pStyle w:val="ListParagraph"/>
              <w:numPr>
                <w:ilvl w:val="0"/>
                <w:numId w:val="29"/>
              </w:numPr>
              <w:tabs>
                <w:tab w:val="left" w:pos="177"/>
              </w:tabs>
              <w:spacing w:after="0"/>
              <w:ind w:left="0" w:firstLine="0"/>
              <w:contextualSpacing w:val="0"/>
            </w:pPr>
            <w:r w:rsidRPr="00D53A95">
              <w:t xml:space="preserve"> </w:t>
            </w:r>
            <w:r w:rsidR="00582B29" w:rsidRPr="00D53A95">
              <w:t xml:space="preserve">În vederea efectuării cu celeritate </w:t>
            </w:r>
            <w:proofErr w:type="spellStart"/>
            <w:r w:rsidR="00582B29" w:rsidRPr="00D53A95">
              <w:t>şi</w:t>
            </w:r>
            <w:proofErr w:type="spellEnd"/>
            <w:r w:rsidR="00582B29" w:rsidRPr="00D53A95">
              <w:t xml:space="preserve"> în mod temeinic a </w:t>
            </w:r>
            <w:proofErr w:type="spellStart"/>
            <w:r w:rsidR="00582B29" w:rsidRPr="00D53A95">
              <w:t>activităţilor</w:t>
            </w:r>
            <w:proofErr w:type="spellEnd"/>
            <w:r w:rsidR="00582B29" w:rsidRPr="00D53A95">
              <w:t xml:space="preserve"> de descoperire </w:t>
            </w:r>
            <w:proofErr w:type="spellStart"/>
            <w:r w:rsidR="00582B29" w:rsidRPr="00D53A95">
              <w:t>şi</w:t>
            </w:r>
            <w:proofErr w:type="spellEnd"/>
            <w:r w:rsidR="00582B29" w:rsidRPr="00D53A95">
              <w:t xml:space="preserve"> de urmărire a </w:t>
            </w:r>
            <w:proofErr w:type="spellStart"/>
            <w:r w:rsidR="00582B29" w:rsidRPr="00D53A95">
              <w:t>infracţiunilor</w:t>
            </w:r>
            <w:proofErr w:type="spellEnd"/>
            <w:r w:rsidR="00582B29" w:rsidRPr="00D53A95">
              <w:t xml:space="preserve">, proiectul prevede </w:t>
            </w:r>
            <w:proofErr w:type="spellStart"/>
            <w:r w:rsidR="00582B29" w:rsidRPr="00D53A95">
              <w:t>şi</w:t>
            </w:r>
            <w:proofErr w:type="spellEnd"/>
            <w:r w:rsidR="00582B29" w:rsidRPr="00D53A95">
              <w:t xml:space="preserve"> că, în cadrul Parchetului de pe lângă Înalta Curte de </w:t>
            </w:r>
            <w:proofErr w:type="spellStart"/>
            <w:r w:rsidR="00582B29" w:rsidRPr="00D53A95">
              <w:t>Casaţie</w:t>
            </w:r>
            <w:proofErr w:type="spellEnd"/>
            <w:r w:rsidR="00582B29" w:rsidRPr="00D53A95">
              <w:t xml:space="preserve"> </w:t>
            </w:r>
            <w:proofErr w:type="spellStart"/>
            <w:r w:rsidR="00582B29" w:rsidRPr="00D53A95">
              <w:t>şi</w:t>
            </w:r>
            <w:proofErr w:type="spellEnd"/>
            <w:r w:rsidR="00582B29" w:rsidRPr="00D53A95">
              <w:t xml:space="preserve"> </w:t>
            </w:r>
            <w:proofErr w:type="spellStart"/>
            <w:r w:rsidR="00582B29" w:rsidRPr="00D53A95">
              <w:t>Justiţie</w:t>
            </w:r>
            <w:proofErr w:type="spellEnd"/>
            <w:r w:rsidR="00582B29" w:rsidRPr="00D53A95">
              <w:t xml:space="preserve"> </w:t>
            </w:r>
            <w:proofErr w:type="spellStart"/>
            <w:r w:rsidR="00582B29" w:rsidRPr="00D53A95">
              <w:t>şi</w:t>
            </w:r>
            <w:proofErr w:type="spellEnd"/>
            <w:r w:rsidR="00582B29" w:rsidRPr="00D53A95">
              <w:t xml:space="preserve"> al parchetelor de pe lângă </w:t>
            </w:r>
            <w:proofErr w:type="spellStart"/>
            <w:r w:rsidR="00582B29" w:rsidRPr="00D53A95">
              <w:t>curţile</w:t>
            </w:r>
            <w:proofErr w:type="spellEnd"/>
            <w:r w:rsidR="00582B29" w:rsidRPr="00D53A95">
              <w:t xml:space="preserve"> de apel </w:t>
            </w:r>
            <w:proofErr w:type="spellStart"/>
            <w:r w:rsidR="00582B29" w:rsidRPr="00D53A95">
              <w:t>funcţionează</w:t>
            </w:r>
            <w:proofErr w:type="spellEnd"/>
            <w:r w:rsidR="00582B29" w:rsidRPr="00D53A95">
              <w:t xml:space="preserve">, prin </w:t>
            </w:r>
            <w:proofErr w:type="spellStart"/>
            <w:r w:rsidR="00582B29" w:rsidRPr="00D53A95">
              <w:t>detaşare</w:t>
            </w:r>
            <w:proofErr w:type="spellEnd"/>
            <w:r w:rsidR="00582B29" w:rsidRPr="00D53A95">
              <w:t xml:space="preserve">, </w:t>
            </w:r>
            <w:proofErr w:type="spellStart"/>
            <w:r w:rsidR="00582B29" w:rsidRPr="00D53A95">
              <w:t>ofiţeri</w:t>
            </w:r>
            <w:proofErr w:type="spellEnd"/>
            <w:r w:rsidR="00582B29" w:rsidRPr="00D53A95">
              <w:t xml:space="preserve"> </w:t>
            </w:r>
            <w:proofErr w:type="spellStart"/>
            <w:r w:rsidR="00582B29" w:rsidRPr="00D53A95">
              <w:t>şi</w:t>
            </w:r>
            <w:proofErr w:type="spellEnd"/>
            <w:r w:rsidR="00582B29" w:rsidRPr="00D53A95">
              <w:t xml:space="preserve"> </w:t>
            </w:r>
            <w:proofErr w:type="spellStart"/>
            <w:r w:rsidR="00582B29" w:rsidRPr="00D53A95">
              <w:t>agenţi</w:t>
            </w:r>
            <w:proofErr w:type="spellEnd"/>
            <w:r w:rsidR="00582B29" w:rsidRPr="00D53A95">
              <w:t xml:space="preserve"> de </w:t>
            </w:r>
            <w:proofErr w:type="spellStart"/>
            <w:r w:rsidR="00582B29" w:rsidRPr="00D53A95">
              <w:t>poliţie</w:t>
            </w:r>
            <w:proofErr w:type="spellEnd"/>
            <w:r w:rsidR="00582B29" w:rsidRPr="00D53A95">
              <w:t xml:space="preserve"> judiciară, în limita posturilor aprobate potrivit legii.  </w:t>
            </w:r>
          </w:p>
          <w:p w:rsidR="00582B29" w:rsidRPr="00582B29" w:rsidRDefault="00582B29" w:rsidP="00582B29">
            <w:pPr>
              <w:pStyle w:val="ListParagraph"/>
              <w:tabs>
                <w:tab w:val="left" w:pos="177"/>
              </w:tabs>
              <w:spacing w:after="0"/>
              <w:ind w:left="0"/>
              <w:contextualSpacing w:val="0"/>
              <w:rPr>
                <w:color w:val="FF0000"/>
              </w:rPr>
            </w:pPr>
          </w:p>
          <w:p w:rsidR="00BF0E1E" w:rsidRPr="00CA1F0A" w:rsidRDefault="00BF0E1E" w:rsidP="00537DEE">
            <w:pPr>
              <w:pStyle w:val="ListParagraph"/>
              <w:numPr>
                <w:ilvl w:val="0"/>
                <w:numId w:val="29"/>
              </w:numPr>
              <w:tabs>
                <w:tab w:val="left" w:pos="177"/>
              </w:tabs>
              <w:spacing w:after="0"/>
              <w:ind w:left="0" w:firstLine="0"/>
              <w:contextualSpacing w:val="0"/>
            </w:pPr>
            <w:r w:rsidRPr="00CA1F0A">
              <w:t xml:space="preserve">Proiectul cuprinde o serie de </w:t>
            </w:r>
            <w:proofErr w:type="spellStart"/>
            <w:r w:rsidRPr="00CA1F0A">
              <w:t>dispoziţii</w:t>
            </w:r>
            <w:proofErr w:type="spellEnd"/>
            <w:r w:rsidRPr="00CA1F0A">
              <w:t xml:space="preserve"> tranzitorii, atât în ceea ce priveşte desemnarea procurorilor, cât </w:t>
            </w:r>
            <w:proofErr w:type="spellStart"/>
            <w:r w:rsidRPr="00CA1F0A">
              <w:t>şi</w:t>
            </w:r>
            <w:proofErr w:type="spellEnd"/>
            <w:r w:rsidRPr="00CA1F0A">
              <w:t xml:space="preserve"> </w:t>
            </w:r>
            <w:proofErr w:type="spellStart"/>
            <w:r w:rsidRPr="00CA1F0A">
              <w:t>situaţia</w:t>
            </w:r>
            <w:proofErr w:type="spellEnd"/>
            <w:r w:rsidRPr="00CA1F0A">
              <w:t xml:space="preserve"> cauzelor </w:t>
            </w:r>
            <w:proofErr w:type="spellStart"/>
            <w:r w:rsidRPr="00CA1F0A">
              <w:t>şi</w:t>
            </w:r>
            <w:proofErr w:type="spellEnd"/>
            <w:r w:rsidRPr="00CA1F0A">
              <w:t xml:space="preserve"> a personalului SIIJ la data </w:t>
            </w:r>
            <w:proofErr w:type="spellStart"/>
            <w:r w:rsidRPr="00CA1F0A">
              <w:t>desfiinţării</w:t>
            </w:r>
            <w:proofErr w:type="spellEnd"/>
            <w:r w:rsidR="00202EBA" w:rsidRPr="00CA1F0A">
              <w:t xml:space="preserve"> acesteia. </w:t>
            </w:r>
          </w:p>
          <w:p w:rsidR="00BF0E1E" w:rsidRPr="00CA1F0A" w:rsidRDefault="00BF0E1E" w:rsidP="00537DEE">
            <w:pPr>
              <w:pStyle w:val="ListParagraph"/>
              <w:tabs>
                <w:tab w:val="left" w:pos="177"/>
              </w:tabs>
              <w:spacing w:after="0"/>
              <w:ind w:left="0"/>
              <w:contextualSpacing w:val="0"/>
            </w:pPr>
            <w:r w:rsidRPr="00CA1F0A">
              <w:t>Astfel, proiectul prevede că p</w:t>
            </w:r>
            <w:r w:rsidR="002E65A5" w:rsidRPr="00CA1F0A">
              <w:t xml:space="preserve">ână la desemnarea procurorilor, în condițiile legii, efectuarea </w:t>
            </w:r>
            <w:r w:rsidR="00983704" w:rsidRPr="008932D6">
              <w:t xml:space="preserve">actelor de </w:t>
            </w:r>
            <w:r w:rsidR="00983704" w:rsidRPr="008932D6">
              <w:lastRenderedPageBreak/>
              <w:t>urmărire penală</w:t>
            </w:r>
            <w:r w:rsidR="00063BD8">
              <w:t xml:space="preserve"> care </w:t>
            </w:r>
            <w:r w:rsidR="00983704" w:rsidRPr="008932D6">
              <w:t>nu suferă amânare</w:t>
            </w:r>
            <w:r w:rsidR="00983704" w:rsidRPr="00CA1F0A">
              <w:t xml:space="preserve"> </w:t>
            </w:r>
            <w:r w:rsidR="002E65A5" w:rsidRPr="00CA1F0A">
              <w:t xml:space="preserve">în cazul </w:t>
            </w:r>
            <w:proofErr w:type="spellStart"/>
            <w:r w:rsidR="002E65A5" w:rsidRPr="00CA1F0A">
              <w:t>infracţiunilor</w:t>
            </w:r>
            <w:proofErr w:type="spellEnd"/>
            <w:r w:rsidR="002E65A5" w:rsidRPr="00CA1F0A">
              <w:t xml:space="preserve"> </w:t>
            </w:r>
            <w:proofErr w:type="spellStart"/>
            <w:r w:rsidR="002E65A5" w:rsidRPr="00CA1F0A">
              <w:t>săvârşite</w:t>
            </w:r>
            <w:proofErr w:type="spellEnd"/>
            <w:r w:rsidR="002E65A5" w:rsidRPr="00CA1F0A">
              <w:t xml:space="preserve"> de </w:t>
            </w:r>
            <w:proofErr w:type="spellStart"/>
            <w:r w:rsidR="002E65A5" w:rsidRPr="00CA1F0A">
              <w:t>magistraţi</w:t>
            </w:r>
            <w:proofErr w:type="spellEnd"/>
            <w:r w:rsidR="00983704" w:rsidRPr="008932D6">
              <w:t xml:space="preserve"> </w:t>
            </w:r>
            <w:r w:rsidR="002E65A5" w:rsidRPr="00CA1F0A">
              <w:t>se face</w:t>
            </w:r>
            <w:r w:rsidR="00466D6C">
              <w:t xml:space="preserve">, după caz, de </w:t>
            </w:r>
            <w:r w:rsidR="00EA40EF">
              <w:t>p</w:t>
            </w:r>
            <w:r w:rsidR="00466D6C" w:rsidRPr="00EC2993">
              <w:t>rocurorul-</w:t>
            </w:r>
            <w:proofErr w:type="spellStart"/>
            <w:r w:rsidR="00466D6C" w:rsidRPr="00EC2993">
              <w:t>şef</w:t>
            </w:r>
            <w:proofErr w:type="spellEnd"/>
            <w:r w:rsidR="00466D6C" w:rsidRPr="00EC2993">
              <w:t xml:space="preserve"> al </w:t>
            </w:r>
            <w:proofErr w:type="spellStart"/>
            <w:r w:rsidR="00466D6C" w:rsidRPr="00EC2993">
              <w:t>Secţiei</w:t>
            </w:r>
            <w:proofErr w:type="spellEnd"/>
            <w:r w:rsidR="00466D6C" w:rsidRPr="00EC2993">
              <w:t xml:space="preserve"> de urmărire penală şi criminalistică din cadrul Parchetului de pe lângă Înalta Curte de </w:t>
            </w:r>
            <w:proofErr w:type="spellStart"/>
            <w:r w:rsidR="00466D6C" w:rsidRPr="00EC2993">
              <w:t>Casaţie</w:t>
            </w:r>
            <w:proofErr w:type="spellEnd"/>
            <w:r w:rsidR="00466D6C" w:rsidRPr="00EC2993">
              <w:t xml:space="preserve"> </w:t>
            </w:r>
            <w:proofErr w:type="spellStart"/>
            <w:r w:rsidR="00466D6C" w:rsidRPr="00EC2993">
              <w:t>şi</w:t>
            </w:r>
            <w:proofErr w:type="spellEnd"/>
            <w:r w:rsidR="00466D6C" w:rsidRPr="00EC2993">
              <w:t xml:space="preserve"> </w:t>
            </w:r>
            <w:proofErr w:type="spellStart"/>
            <w:r w:rsidR="00466D6C" w:rsidRPr="00EC2993">
              <w:t>Justiţie</w:t>
            </w:r>
            <w:proofErr w:type="spellEnd"/>
            <w:r w:rsidR="00466D6C">
              <w:t xml:space="preserve"> sau </w:t>
            </w:r>
            <w:r w:rsidR="004A5BB3">
              <w:t xml:space="preserve">de </w:t>
            </w:r>
            <w:r w:rsidR="00466D6C" w:rsidRPr="00090749">
              <w:t>procurorul general al parchetului de pe lângă curtea de apel</w:t>
            </w:r>
            <w:r w:rsidR="002E65A5" w:rsidRPr="00CA1F0A">
              <w:t>.</w:t>
            </w:r>
          </w:p>
          <w:p w:rsidR="00BF0E1E" w:rsidRPr="00CA1F0A" w:rsidRDefault="00115579" w:rsidP="00537DEE">
            <w:pPr>
              <w:pStyle w:val="ListParagraph"/>
              <w:tabs>
                <w:tab w:val="left" w:pos="177"/>
              </w:tabs>
              <w:spacing w:after="0"/>
              <w:ind w:left="0"/>
              <w:contextualSpacing w:val="0"/>
            </w:pPr>
            <w:r w:rsidRPr="00CA1F0A">
              <w:t>În ceea ce priveşte c</w:t>
            </w:r>
            <w:r w:rsidR="00BF0E1E" w:rsidRPr="00CA1F0A">
              <w:t xml:space="preserve">auzele aflate pe rolul Secției la data intrării în vigoare a legii, precum și dosarele soluționate, aflate în arhiva Secției la această dată, </w:t>
            </w:r>
            <w:r w:rsidRPr="00CA1F0A">
              <w:t xml:space="preserve">acestea se propune a fi </w:t>
            </w:r>
            <w:r w:rsidR="00BF0E1E" w:rsidRPr="00CA1F0A">
              <w:t>se transmi</w:t>
            </w:r>
            <w:r w:rsidRPr="00CA1F0A">
              <w:t>se</w:t>
            </w:r>
            <w:r w:rsidR="00BF0E1E" w:rsidRPr="00CA1F0A">
              <w:t xml:space="preserve"> pe cale administrativă, în termen de </w:t>
            </w:r>
            <w:r w:rsidR="008B0E7E">
              <w:t>30</w:t>
            </w:r>
            <w:r w:rsidR="00BF0E1E" w:rsidRPr="00CA1F0A">
              <w:t xml:space="preserve"> </w:t>
            </w:r>
            <w:r w:rsidR="009822E1">
              <w:t xml:space="preserve">de </w:t>
            </w:r>
            <w:bookmarkStart w:id="2" w:name="_GoBack"/>
            <w:bookmarkEnd w:id="2"/>
            <w:r w:rsidR="00BF0E1E" w:rsidRPr="00CA1F0A">
              <w:t>zile lucrătoare de la data intrării în vigoare a legii, parchetelor competente potrivit legii, prin grija Parchetului de pe lângă Înalta Curte de Casație și Justiție.</w:t>
            </w:r>
          </w:p>
          <w:p w:rsidR="00BF0E1E" w:rsidRPr="00CA1F0A" w:rsidRDefault="00544708" w:rsidP="00537DEE">
            <w:pPr>
              <w:tabs>
                <w:tab w:val="left" w:pos="177"/>
              </w:tabs>
              <w:spacing w:after="0"/>
              <w:ind w:left="0"/>
            </w:pPr>
            <w:r w:rsidRPr="00CA1F0A">
              <w:t>De asemenea, a</w:t>
            </w:r>
            <w:r w:rsidR="00BF0E1E" w:rsidRPr="00CA1F0A">
              <w:t>ctele de procedură îndeplinite în aceste cauze anterior intrării în vigoare a legii, cu respectarea dispozițiilor legale în vigoare la data îndeplinirii lor, rămân valabile.</w:t>
            </w:r>
          </w:p>
          <w:p w:rsidR="00BF0E1E" w:rsidRPr="00CA1F0A" w:rsidRDefault="00BF0E1E" w:rsidP="00537DEE">
            <w:pPr>
              <w:tabs>
                <w:tab w:val="left" w:pos="177"/>
              </w:tabs>
              <w:spacing w:after="0"/>
              <w:ind w:left="0"/>
            </w:pPr>
            <w:r w:rsidRPr="00CA1F0A">
              <w:t xml:space="preserve">Pentru respectarea principiului constituțional al subordonării ierarhice a procurorilor în cadrul Ministerului Public și având în vedere jurisprudența Curții Constituționale referitoare la reflectarea acestuia în reglementările </w:t>
            </w:r>
            <w:proofErr w:type="spellStart"/>
            <w:r w:rsidRPr="00CA1F0A">
              <w:t>infraconstituționale</w:t>
            </w:r>
            <w:proofErr w:type="spellEnd"/>
            <w:r w:rsidRPr="00CA1F0A">
              <w:t xml:space="preserve"> (cu titlu de exemplu menționăm Decizia Curții Constituționale nr. 547/2020, anterior citată), proiectul prevede că soluțiile dispuse de procurorii Secției, care anterior intrării în vigoare a legii nu au făcut obiectul controlului ierarhic, sunt supuse după această dată controlului exercitat de procurorul general al PÎCCJ, regula fiind incidentă atât în cazul controlului exercitat din oficiu, cât și în cazul controlului exercitat la sesizare (plângere).</w:t>
            </w:r>
          </w:p>
          <w:p w:rsidR="00BF0E1E" w:rsidRPr="00CA1F0A" w:rsidRDefault="00BF0E1E" w:rsidP="00537DEE">
            <w:pPr>
              <w:tabs>
                <w:tab w:val="left" w:pos="177"/>
              </w:tabs>
              <w:spacing w:after="0"/>
              <w:ind w:left="0"/>
            </w:pPr>
            <w:r w:rsidRPr="00CA1F0A">
              <w:t>Începând cu data desființării Secției, reprezentarea Ministerului Public în cauzele preluate de la Secție va fi asigurată de procurori din cadrul parchetelor de pe lângă instanțele pe rolul cărora se află acestea, dacă prin lege nu se dispune altfel.</w:t>
            </w:r>
          </w:p>
          <w:p w:rsidR="00BF0E1E" w:rsidRPr="00CA1F0A" w:rsidRDefault="00BF0E1E" w:rsidP="00537DEE">
            <w:pPr>
              <w:tabs>
                <w:tab w:val="left" w:pos="177"/>
              </w:tabs>
              <w:spacing w:after="0"/>
              <w:ind w:left="0"/>
            </w:pPr>
            <w:r w:rsidRPr="00CA1F0A">
              <w:t>De asemenea, pentru respectarea principiului subordonării ierarhice, căile de atac exercitate de Secție vor putea fi retrase numai de procurorul general al PÎCCJ</w:t>
            </w:r>
            <w:r w:rsidR="008D0F31">
              <w:t>.</w:t>
            </w:r>
          </w:p>
          <w:p w:rsidR="00BF0E1E" w:rsidRPr="00CA1F0A" w:rsidRDefault="00BF0E1E" w:rsidP="00537DEE">
            <w:pPr>
              <w:tabs>
                <w:tab w:val="left" w:pos="177"/>
              </w:tabs>
              <w:spacing w:after="0"/>
              <w:ind w:left="0"/>
            </w:pPr>
            <w:r w:rsidRPr="00CA1F0A">
              <w:t xml:space="preserve">Posturile aflate în schema de funcții și de personal a Secției la data intrării în vigoare a legii rămân în schema Parchetului de pe lângă Înalta Curte de Casație și Justiție, fiind  redistribuite în cadrul celorlalte secții ori în cadrul altor parchete care preiau </w:t>
            </w:r>
            <w:proofErr w:type="spellStart"/>
            <w:r w:rsidRPr="00CA1F0A">
              <w:t>competenţa</w:t>
            </w:r>
            <w:proofErr w:type="spellEnd"/>
            <w:r w:rsidRPr="00CA1F0A">
              <w:t>, în funcție de necesități.</w:t>
            </w:r>
          </w:p>
          <w:p w:rsidR="00BF0E1E" w:rsidRPr="00CA1F0A" w:rsidRDefault="005342B6" w:rsidP="00537DEE">
            <w:pPr>
              <w:tabs>
                <w:tab w:val="left" w:pos="177"/>
              </w:tabs>
              <w:autoSpaceDE w:val="0"/>
              <w:autoSpaceDN w:val="0"/>
              <w:adjustRightInd w:val="0"/>
              <w:spacing w:after="0"/>
              <w:ind w:left="0"/>
              <w:rPr>
                <w:iCs/>
              </w:rPr>
            </w:pPr>
            <w:r w:rsidRPr="00CA1F0A">
              <w:t xml:space="preserve">Referitor la </w:t>
            </w:r>
            <w:proofErr w:type="spellStart"/>
            <w:r w:rsidRPr="00CA1F0A">
              <w:t>situaţia</w:t>
            </w:r>
            <w:proofErr w:type="spellEnd"/>
            <w:r w:rsidRPr="00CA1F0A">
              <w:t xml:space="preserve"> personalului din cadrul SIIJ, p</w:t>
            </w:r>
            <w:r w:rsidR="00BF0E1E" w:rsidRPr="00CA1F0A">
              <w:t xml:space="preserve">rocurorii din cadrul Secției, inclusiv cei cu </w:t>
            </w:r>
            <w:proofErr w:type="spellStart"/>
            <w:r w:rsidR="00BF0E1E" w:rsidRPr="00CA1F0A">
              <w:t>funcţii</w:t>
            </w:r>
            <w:proofErr w:type="spellEnd"/>
            <w:r w:rsidR="00BF0E1E" w:rsidRPr="00CA1F0A">
              <w:t xml:space="preserve"> de conducere, revin la parchetele de unde provin</w:t>
            </w:r>
            <w:r w:rsidR="008D0F31">
              <w:t xml:space="preserve"> sau </w:t>
            </w:r>
            <w:r w:rsidR="008D0F31" w:rsidRPr="00D94850">
              <w:t xml:space="preserve">la parchetele unde au promovat în </w:t>
            </w:r>
            <w:proofErr w:type="spellStart"/>
            <w:r w:rsidR="008D0F31" w:rsidRPr="00D94850">
              <w:t>condiţiile</w:t>
            </w:r>
            <w:proofErr w:type="spellEnd"/>
            <w:r w:rsidR="008D0F31" w:rsidRPr="00D94850">
              <w:t xml:space="preserve"> legii pe perioada </w:t>
            </w:r>
            <w:proofErr w:type="spellStart"/>
            <w:r w:rsidR="008D0F31" w:rsidRPr="00D94850">
              <w:t>desfăşurării</w:t>
            </w:r>
            <w:proofErr w:type="spellEnd"/>
            <w:r w:rsidR="008D0F31" w:rsidRPr="00D94850">
              <w:t xml:space="preserve"> </w:t>
            </w:r>
            <w:proofErr w:type="spellStart"/>
            <w:r w:rsidR="008D0F31" w:rsidRPr="00D94850">
              <w:t>activităţii</w:t>
            </w:r>
            <w:proofErr w:type="spellEnd"/>
            <w:r w:rsidR="008D0F31" w:rsidRPr="00D94850">
              <w:t xml:space="preserve"> în cadrul </w:t>
            </w:r>
            <w:proofErr w:type="spellStart"/>
            <w:r w:rsidR="008D0F31" w:rsidRPr="00D94850">
              <w:t>Secţiei</w:t>
            </w:r>
            <w:proofErr w:type="spellEnd"/>
            <w:r w:rsidR="008D0F31" w:rsidRPr="00D94850">
              <w:t>.</w:t>
            </w:r>
            <w:r w:rsidR="008D0F31">
              <w:t xml:space="preserve"> </w:t>
            </w:r>
            <w:r w:rsidR="00BF0E1E" w:rsidRPr="00CA1F0A">
              <w:t>De la data revenirii la parchetul de unde provin</w:t>
            </w:r>
            <w:r w:rsidR="008D0F31">
              <w:t xml:space="preserve"> sau unde au promovat</w:t>
            </w:r>
            <w:r w:rsidR="00BF0E1E" w:rsidRPr="00CA1F0A">
              <w:t xml:space="preserve">, procurorii </w:t>
            </w:r>
            <w:proofErr w:type="spellStart"/>
            <w:r w:rsidR="00BF0E1E" w:rsidRPr="00CA1F0A">
              <w:t>îşi</w:t>
            </w:r>
            <w:proofErr w:type="spellEnd"/>
            <w:r w:rsidR="00BF0E1E" w:rsidRPr="00CA1F0A">
              <w:t xml:space="preserve"> </w:t>
            </w:r>
            <w:r w:rsidR="00BF0E1E" w:rsidRPr="00CA1F0A">
              <w:lastRenderedPageBreak/>
              <w:t xml:space="preserve">redobândesc gradul profesional de execuție şi salarizarea corespunzătoare acestuia avute anterior sau pe cele dobândite ca urmare a promovării, în </w:t>
            </w:r>
            <w:proofErr w:type="spellStart"/>
            <w:r w:rsidR="00BF0E1E" w:rsidRPr="00CA1F0A">
              <w:t>condiţiile</w:t>
            </w:r>
            <w:proofErr w:type="spellEnd"/>
            <w:r w:rsidR="00BF0E1E" w:rsidRPr="00CA1F0A">
              <w:t xml:space="preserve"> legii, în timpul </w:t>
            </w:r>
            <w:proofErr w:type="spellStart"/>
            <w:r w:rsidR="00BF0E1E" w:rsidRPr="00CA1F0A">
              <w:t>desfăşurării</w:t>
            </w:r>
            <w:proofErr w:type="spellEnd"/>
            <w:r w:rsidR="00BF0E1E" w:rsidRPr="00CA1F0A">
              <w:t xml:space="preserve"> </w:t>
            </w:r>
            <w:proofErr w:type="spellStart"/>
            <w:r w:rsidR="00BF0E1E" w:rsidRPr="00CA1F0A">
              <w:t>activităţii</w:t>
            </w:r>
            <w:proofErr w:type="spellEnd"/>
            <w:r w:rsidR="00BF0E1E" w:rsidRPr="00CA1F0A">
              <w:t xml:space="preserve"> în cadrul </w:t>
            </w:r>
            <w:proofErr w:type="spellStart"/>
            <w:r w:rsidR="00BF0E1E" w:rsidRPr="00CA1F0A">
              <w:t>Secţiei</w:t>
            </w:r>
            <w:proofErr w:type="spellEnd"/>
            <w:r w:rsidR="00BF0E1E" w:rsidRPr="00CA1F0A">
              <w:t xml:space="preserve"> pentru Investigarea Infracțiunilor din Justiție.</w:t>
            </w:r>
          </w:p>
          <w:p w:rsidR="009E0C77" w:rsidRPr="00CA1F0A" w:rsidRDefault="00BF0E1E" w:rsidP="00537DEE">
            <w:pPr>
              <w:tabs>
                <w:tab w:val="left" w:pos="177"/>
              </w:tabs>
              <w:autoSpaceDE w:val="0"/>
              <w:autoSpaceDN w:val="0"/>
              <w:adjustRightInd w:val="0"/>
              <w:spacing w:after="0"/>
              <w:ind w:left="0"/>
              <w:rPr>
                <w:iCs/>
              </w:rPr>
            </w:pPr>
            <w:r w:rsidRPr="00CA1F0A">
              <w:rPr>
                <w:iCs/>
              </w:rPr>
              <w:t xml:space="preserve">Personalului detașat pe celelalte categorii de posturi din cadrul Secției îi încetează detașarea începând cu data desființării acesteia. </w:t>
            </w:r>
          </w:p>
        </w:tc>
      </w:tr>
      <w:tr w:rsidR="00EC7E47" w:rsidRPr="00CA1F0A" w:rsidTr="00096E7B">
        <w:tc>
          <w:tcPr>
            <w:tcW w:w="4289" w:type="dxa"/>
          </w:tcPr>
          <w:p w:rsidR="004175F0" w:rsidRPr="00CA1F0A" w:rsidRDefault="004175F0" w:rsidP="00537DEE">
            <w:pPr>
              <w:tabs>
                <w:tab w:val="left" w:pos="3261"/>
              </w:tabs>
              <w:spacing w:after="0"/>
              <w:ind w:left="69" w:right="-391"/>
              <w:rPr>
                <w:rFonts w:cs="Arial"/>
                <w:snapToGrid w:val="0"/>
              </w:rPr>
            </w:pPr>
            <w:r w:rsidRPr="00CA1F0A">
              <w:rPr>
                <w:rFonts w:cs="Arial"/>
                <w:snapToGrid w:val="0"/>
              </w:rPr>
              <w:lastRenderedPageBreak/>
              <w:t xml:space="preserve">3. Alte </w:t>
            </w:r>
            <w:proofErr w:type="spellStart"/>
            <w:r w:rsidRPr="00CA1F0A">
              <w:rPr>
                <w:rFonts w:cs="Arial"/>
                <w:snapToGrid w:val="0"/>
              </w:rPr>
              <w:t>informaţii</w:t>
            </w:r>
            <w:proofErr w:type="spellEnd"/>
          </w:p>
        </w:tc>
        <w:tc>
          <w:tcPr>
            <w:tcW w:w="6094" w:type="dxa"/>
            <w:gridSpan w:val="6"/>
          </w:tcPr>
          <w:p w:rsidR="004175F0" w:rsidRPr="00CA1F0A" w:rsidRDefault="004175F0" w:rsidP="00537DEE">
            <w:pPr>
              <w:tabs>
                <w:tab w:val="left" w:pos="3261"/>
              </w:tabs>
              <w:spacing w:after="0"/>
              <w:ind w:left="69"/>
              <w:rPr>
                <w:rFonts w:cs="Arial"/>
              </w:rPr>
            </w:pPr>
          </w:p>
        </w:tc>
      </w:tr>
      <w:tr w:rsidR="00EC7E47" w:rsidRPr="00CA1F0A" w:rsidTr="00096E7B">
        <w:tc>
          <w:tcPr>
            <w:tcW w:w="10383" w:type="dxa"/>
            <w:gridSpan w:val="7"/>
          </w:tcPr>
          <w:p w:rsidR="004175F0" w:rsidRPr="00CA1F0A" w:rsidRDefault="00270281" w:rsidP="00537DEE">
            <w:pPr>
              <w:tabs>
                <w:tab w:val="left" w:pos="3261"/>
              </w:tabs>
              <w:spacing w:after="0"/>
              <w:ind w:left="69"/>
              <w:rPr>
                <w:rFonts w:cs="Arial"/>
                <w:b/>
                <w:snapToGrid w:val="0"/>
              </w:rPr>
            </w:pPr>
            <w:r w:rsidRPr="00CA1F0A">
              <w:rPr>
                <w:rFonts w:cs="Arial"/>
                <w:b/>
                <w:snapToGrid w:val="0"/>
              </w:rPr>
              <w:t>Secțiunea</w:t>
            </w:r>
            <w:r w:rsidR="004175F0" w:rsidRPr="00CA1F0A">
              <w:rPr>
                <w:rFonts w:cs="Arial"/>
                <w:b/>
                <w:snapToGrid w:val="0"/>
              </w:rPr>
              <w:t xml:space="preserve"> a 3-a – Impactul socioeconomic al proiectului de act normativ</w:t>
            </w:r>
          </w:p>
        </w:tc>
      </w:tr>
      <w:tr w:rsidR="00EC7E47" w:rsidRPr="00CA1F0A" w:rsidTr="00096E7B">
        <w:tc>
          <w:tcPr>
            <w:tcW w:w="4289" w:type="dxa"/>
          </w:tcPr>
          <w:p w:rsidR="004175F0" w:rsidRPr="00CA1F0A" w:rsidRDefault="004175F0" w:rsidP="00537DEE">
            <w:pPr>
              <w:tabs>
                <w:tab w:val="left" w:pos="3261"/>
              </w:tabs>
              <w:spacing w:after="0"/>
              <w:ind w:left="69" w:right="-391"/>
              <w:rPr>
                <w:rFonts w:cs="Arial"/>
                <w:snapToGrid w:val="0"/>
              </w:rPr>
            </w:pPr>
            <w:r w:rsidRPr="00CA1F0A">
              <w:rPr>
                <w:rFonts w:cs="Arial"/>
                <w:snapToGrid w:val="0"/>
              </w:rPr>
              <w:t>1. Impactul macroeconomic</w:t>
            </w:r>
          </w:p>
        </w:tc>
        <w:tc>
          <w:tcPr>
            <w:tcW w:w="6094" w:type="dxa"/>
            <w:gridSpan w:val="6"/>
          </w:tcPr>
          <w:p w:rsidR="004175F0" w:rsidRPr="00CA1F0A" w:rsidRDefault="004175F0" w:rsidP="00537DEE">
            <w:pPr>
              <w:tabs>
                <w:tab w:val="left" w:pos="3261"/>
              </w:tabs>
              <w:spacing w:after="0"/>
              <w:ind w:left="69"/>
              <w:rPr>
                <w:rFonts w:cs="Arial"/>
              </w:rPr>
            </w:pPr>
            <w:r w:rsidRPr="00CA1F0A">
              <w:rPr>
                <w:rFonts w:cs="Arial"/>
              </w:rPr>
              <w:t xml:space="preserve">Nu este cazul. </w:t>
            </w:r>
          </w:p>
        </w:tc>
      </w:tr>
      <w:tr w:rsidR="00EC7E47" w:rsidRPr="00CA1F0A" w:rsidTr="00096E7B">
        <w:tc>
          <w:tcPr>
            <w:tcW w:w="4289" w:type="dxa"/>
          </w:tcPr>
          <w:p w:rsidR="004175F0" w:rsidRPr="00CA1F0A" w:rsidRDefault="004175F0" w:rsidP="00537DEE">
            <w:pPr>
              <w:tabs>
                <w:tab w:val="left" w:pos="3261"/>
              </w:tabs>
              <w:spacing w:after="0"/>
              <w:ind w:left="69" w:right="34"/>
              <w:rPr>
                <w:rFonts w:cs="Arial"/>
                <w:snapToGrid w:val="0"/>
              </w:rPr>
            </w:pPr>
            <w:r w:rsidRPr="00CA1F0A">
              <w:rPr>
                <w:rFonts w:cs="Arial"/>
                <w:snapToGrid w:val="0"/>
              </w:rPr>
              <w:t>1</w:t>
            </w:r>
            <w:r w:rsidRPr="00CA1F0A">
              <w:rPr>
                <w:rFonts w:cs="Arial"/>
                <w:snapToGrid w:val="0"/>
                <w:vertAlign w:val="superscript"/>
              </w:rPr>
              <w:t>1</w:t>
            </w:r>
            <w:r w:rsidRPr="00CA1F0A">
              <w:rPr>
                <w:rFonts w:cs="Arial"/>
                <w:snapToGrid w:val="0"/>
              </w:rPr>
              <w:t>. Impactul asupra mediului concurențial și domeniului ajutoarelor de stat</w:t>
            </w:r>
          </w:p>
        </w:tc>
        <w:tc>
          <w:tcPr>
            <w:tcW w:w="6094" w:type="dxa"/>
            <w:gridSpan w:val="6"/>
          </w:tcPr>
          <w:p w:rsidR="004175F0" w:rsidRPr="00CA1F0A" w:rsidRDefault="004175F0" w:rsidP="00537DEE">
            <w:pPr>
              <w:tabs>
                <w:tab w:val="left" w:pos="3261"/>
              </w:tabs>
              <w:spacing w:after="0"/>
              <w:ind w:left="69"/>
              <w:rPr>
                <w:rFonts w:cs="Arial"/>
              </w:rPr>
            </w:pPr>
            <w:r w:rsidRPr="00CA1F0A">
              <w:rPr>
                <w:rFonts w:cs="Arial"/>
              </w:rPr>
              <w:t xml:space="preserve">Nu este cazul </w:t>
            </w:r>
          </w:p>
        </w:tc>
      </w:tr>
      <w:tr w:rsidR="00EC7E47" w:rsidRPr="00CA1F0A" w:rsidTr="00096E7B">
        <w:tc>
          <w:tcPr>
            <w:tcW w:w="4289" w:type="dxa"/>
          </w:tcPr>
          <w:p w:rsidR="004175F0" w:rsidRPr="00CA1F0A" w:rsidRDefault="004175F0" w:rsidP="00537DEE">
            <w:pPr>
              <w:tabs>
                <w:tab w:val="left" w:pos="3261"/>
              </w:tabs>
              <w:spacing w:after="0"/>
              <w:ind w:left="69" w:right="-391"/>
              <w:rPr>
                <w:rFonts w:cs="Arial"/>
                <w:snapToGrid w:val="0"/>
              </w:rPr>
            </w:pPr>
            <w:r w:rsidRPr="00CA1F0A">
              <w:rPr>
                <w:rFonts w:cs="Arial"/>
                <w:snapToGrid w:val="0"/>
              </w:rPr>
              <w:t>2. Impactul asupra mediului afaceri</w:t>
            </w:r>
          </w:p>
        </w:tc>
        <w:tc>
          <w:tcPr>
            <w:tcW w:w="6094" w:type="dxa"/>
            <w:gridSpan w:val="6"/>
          </w:tcPr>
          <w:p w:rsidR="004175F0" w:rsidRPr="00CA1F0A" w:rsidRDefault="004175F0" w:rsidP="00537DEE">
            <w:pPr>
              <w:tabs>
                <w:tab w:val="left" w:pos="3261"/>
              </w:tabs>
              <w:spacing w:after="0"/>
              <w:ind w:left="69"/>
              <w:rPr>
                <w:rFonts w:cs="Arial"/>
              </w:rPr>
            </w:pPr>
            <w:r w:rsidRPr="00CA1F0A">
              <w:rPr>
                <w:rFonts w:cs="Arial"/>
              </w:rPr>
              <w:t xml:space="preserve">Nu este cazul </w:t>
            </w:r>
          </w:p>
        </w:tc>
      </w:tr>
      <w:tr w:rsidR="00EC7E47" w:rsidRPr="00CA1F0A" w:rsidTr="00096E7B">
        <w:tc>
          <w:tcPr>
            <w:tcW w:w="4289" w:type="dxa"/>
          </w:tcPr>
          <w:p w:rsidR="004175F0" w:rsidRPr="00CA1F0A" w:rsidRDefault="004175F0" w:rsidP="00537DEE">
            <w:pPr>
              <w:tabs>
                <w:tab w:val="left" w:pos="3261"/>
              </w:tabs>
              <w:spacing w:after="0"/>
              <w:ind w:left="69" w:right="-391"/>
              <w:rPr>
                <w:rFonts w:cs="Arial"/>
                <w:snapToGrid w:val="0"/>
              </w:rPr>
            </w:pPr>
            <w:r w:rsidRPr="00CA1F0A">
              <w:rPr>
                <w:rFonts w:cs="Arial"/>
                <w:snapToGrid w:val="0"/>
              </w:rPr>
              <w:t>3. Impactul social</w:t>
            </w:r>
          </w:p>
        </w:tc>
        <w:tc>
          <w:tcPr>
            <w:tcW w:w="6094" w:type="dxa"/>
            <w:gridSpan w:val="6"/>
          </w:tcPr>
          <w:p w:rsidR="004175F0" w:rsidRPr="00CA1F0A" w:rsidRDefault="004175F0" w:rsidP="00537DEE">
            <w:pPr>
              <w:tabs>
                <w:tab w:val="left" w:pos="3261"/>
              </w:tabs>
              <w:spacing w:after="0"/>
              <w:ind w:left="69"/>
              <w:rPr>
                <w:rFonts w:cs="Arial"/>
              </w:rPr>
            </w:pPr>
            <w:r w:rsidRPr="00CA1F0A">
              <w:rPr>
                <w:rFonts w:cs="Arial"/>
              </w:rPr>
              <w:t>Nu este cazul</w:t>
            </w:r>
          </w:p>
        </w:tc>
      </w:tr>
      <w:tr w:rsidR="00EC7E47" w:rsidRPr="00CA1F0A" w:rsidTr="00096E7B">
        <w:tc>
          <w:tcPr>
            <w:tcW w:w="4289" w:type="dxa"/>
          </w:tcPr>
          <w:p w:rsidR="004175F0" w:rsidRPr="00CA1F0A" w:rsidRDefault="004175F0" w:rsidP="00537DEE">
            <w:pPr>
              <w:tabs>
                <w:tab w:val="left" w:pos="3261"/>
              </w:tabs>
              <w:spacing w:after="0"/>
              <w:ind w:left="69" w:right="-391"/>
              <w:rPr>
                <w:rFonts w:cs="Arial"/>
                <w:snapToGrid w:val="0"/>
              </w:rPr>
            </w:pPr>
            <w:r w:rsidRPr="00CA1F0A">
              <w:rPr>
                <w:rFonts w:cs="Arial"/>
                <w:snapToGrid w:val="0"/>
              </w:rPr>
              <w:t>4. Impactul asupra mediului</w:t>
            </w:r>
          </w:p>
        </w:tc>
        <w:tc>
          <w:tcPr>
            <w:tcW w:w="6094" w:type="dxa"/>
            <w:gridSpan w:val="6"/>
          </w:tcPr>
          <w:p w:rsidR="004175F0" w:rsidRPr="00CA1F0A" w:rsidRDefault="004175F0" w:rsidP="00537DEE">
            <w:pPr>
              <w:tabs>
                <w:tab w:val="left" w:pos="3261"/>
              </w:tabs>
              <w:spacing w:after="0"/>
              <w:ind w:left="69"/>
              <w:rPr>
                <w:rFonts w:cs="Arial"/>
              </w:rPr>
            </w:pPr>
            <w:r w:rsidRPr="00CA1F0A">
              <w:rPr>
                <w:rFonts w:cs="Arial"/>
              </w:rPr>
              <w:t>Nu este cazul</w:t>
            </w:r>
          </w:p>
        </w:tc>
      </w:tr>
      <w:tr w:rsidR="00EC7E47" w:rsidRPr="00CA1F0A" w:rsidTr="00096E7B">
        <w:tc>
          <w:tcPr>
            <w:tcW w:w="4289" w:type="dxa"/>
          </w:tcPr>
          <w:p w:rsidR="004175F0" w:rsidRPr="00CA1F0A" w:rsidRDefault="004175F0" w:rsidP="00537DEE">
            <w:pPr>
              <w:tabs>
                <w:tab w:val="left" w:pos="3261"/>
              </w:tabs>
              <w:spacing w:after="0"/>
              <w:ind w:left="69" w:right="-391"/>
              <w:rPr>
                <w:rFonts w:cs="Arial"/>
                <w:snapToGrid w:val="0"/>
              </w:rPr>
            </w:pPr>
            <w:r w:rsidRPr="00CA1F0A">
              <w:rPr>
                <w:rFonts w:cs="Arial"/>
                <w:snapToGrid w:val="0"/>
              </w:rPr>
              <w:t xml:space="preserve">5. Alte </w:t>
            </w:r>
            <w:proofErr w:type="spellStart"/>
            <w:r w:rsidRPr="00CA1F0A">
              <w:rPr>
                <w:rFonts w:cs="Arial"/>
                <w:snapToGrid w:val="0"/>
              </w:rPr>
              <w:t>informaţii</w:t>
            </w:r>
            <w:proofErr w:type="spellEnd"/>
          </w:p>
        </w:tc>
        <w:tc>
          <w:tcPr>
            <w:tcW w:w="6094" w:type="dxa"/>
            <w:gridSpan w:val="6"/>
          </w:tcPr>
          <w:p w:rsidR="004175F0" w:rsidRPr="00CA1F0A" w:rsidRDefault="004175F0" w:rsidP="00537DEE">
            <w:pPr>
              <w:tabs>
                <w:tab w:val="left" w:pos="3261"/>
              </w:tabs>
              <w:spacing w:after="0"/>
              <w:ind w:left="69"/>
              <w:rPr>
                <w:rFonts w:cs="Arial"/>
              </w:rPr>
            </w:pPr>
          </w:p>
        </w:tc>
      </w:tr>
      <w:tr w:rsidR="00EC7E47" w:rsidRPr="00CA1F0A" w:rsidTr="00096E7B">
        <w:tc>
          <w:tcPr>
            <w:tcW w:w="10383" w:type="dxa"/>
            <w:gridSpan w:val="7"/>
          </w:tcPr>
          <w:p w:rsidR="004175F0" w:rsidRPr="00CA1F0A" w:rsidRDefault="00270281" w:rsidP="00537DEE">
            <w:pPr>
              <w:tabs>
                <w:tab w:val="left" w:pos="3261"/>
              </w:tabs>
              <w:autoSpaceDE w:val="0"/>
              <w:autoSpaceDN w:val="0"/>
              <w:adjustRightInd w:val="0"/>
              <w:spacing w:after="0"/>
              <w:ind w:left="69"/>
              <w:rPr>
                <w:rFonts w:cs="Arial"/>
                <w:b/>
                <w:snapToGrid w:val="0"/>
              </w:rPr>
            </w:pPr>
            <w:r w:rsidRPr="00CA1F0A">
              <w:rPr>
                <w:rFonts w:cs="Arial"/>
                <w:b/>
                <w:snapToGrid w:val="0"/>
              </w:rPr>
              <w:t>Secțiunea</w:t>
            </w:r>
            <w:r w:rsidR="004175F0" w:rsidRPr="00CA1F0A">
              <w:rPr>
                <w:rFonts w:cs="Arial"/>
                <w:b/>
                <w:snapToGrid w:val="0"/>
              </w:rPr>
              <w:t xml:space="preserve"> a 4-a – Impactul financiar asupra bugetului general consolidat, atât pe termen scurt, pentru anul curent, cât şi pe termen lung (5 ani).</w:t>
            </w:r>
          </w:p>
        </w:tc>
      </w:tr>
      <w:tr w:rsidR="00EC7E47" w:rsidRPr="00CA1F0A" w:rsidTr="00096E7B">
        <w:tc>
          <w:tcPr>
            <w:tcW w:w="10383" w:type="dxa"/>
            <w:gridSpan w:val="7"/>
          </w:tcPr>
          <w:p w:rsidR="004175F0" w:rsidRPr="00CA1F0A" w:rsidRDefault="004175F0" w:rsidP="00537DEE">
            <w:pPr>
              <w:tabs>
                <w:tab w:val="left" w:pos="3261"/>
              </w:tabs>
              <w:spacing w:after="0"/>
              <w:ind w:left="69"/>
              <w:jc w:val="right"/>
              <w:rPr>
                <w:rFonts w:cs="Arial"/>
                <w:snapToGrid w:val="0"/>
              </w:rPr>
            </w:pPr>
            <w:r w:rsidRPr="00CA1F0A">
              <w:rPr>
                <w:rFonts w:cs="Arial"/>
                <w:snapToGrid w:val="0"/>
              </w:rPr>
              <w:t>- mii lei -</w:t>
            </w:r>
          </w:p>
        </w:tc>
      </w:tr>
      <w:tr w:rsidR="00EC7E47" w:rsidRPr="00CA1F0A" w:rsidTr="00096E7B">
        <w:tc>
          <w:tcPr>
            <w:tcW w:w="4289" w:type="dxa"/>
          </w:tcPr>
          <w:p w:rsidR="004175F0" w:rsidRPr="00CA1F0A" w:rsidRDefault="004175F0" w:rsidP="00537DEE">
            <w:pPr>
              <w:tabs>
                <w:tab w:val="left" w:pos="3261"/>
              </w:tabs>
              <w:spacing w:after="0"/>
              <w:ind w:left="69"/>
              <w:jc w:val="center"/>
              <w:rPr>
                <w:rFonts w:cs="Arial"/>
                <w:snapToGrid w:val="0"/>
              </w:rPr>
            </w:pPr>
            <w:r w:rsidRPr="00CA1F0A">
              <w:rPr>
                <w:rFonts w:cs="Arial"/>
                <w:snapToGrid w:val="0"/>
              </w:rPr>
              <w:t>Indicatori</w:t>
            </w:r>
          </w:p>
        </w:tc>
        <w:tc>
          <w:tcPr>
            <w:tcW w:w="992" w:type="dxa"/>
            <w:shd w:val="clear" w:color="auto" w:fill="auto"/>
          </w:tcPr>
          <w:p w:rsidR="004175F0" w:rsidRPr="00CA1F0A" w:rsidRDefault="004175F0" w:rsidP="00537DEE">
            <w:pPr>
              <w:tabs>
                <w:tab w:val="left" w:pos="3261"/>
              </w:tabs>
              <w:spacing w:after="0"/>
              <w:ind w:left="69"/>
              <w:jc w:val="center"/>
              <w:rPr>
                <w:rFonts w:cs="Arial"/>
              </w:rPr>
            </w:pPr>
            <w:r w:rsidRPr="00CA1F0A">
              <w:rPr>
                <w:rFonts w:cs="Arial"/>
              </w:rPr>
              <w:t>Anul curent</w:t>
            </w:r>
          </w:p>
          <w:p w:rsidR="004175F0" w:rsidRPr="00CA1F0A" w:rsidRDefault="004175F0" w:rsidP="00537DEE">
            <w:pPr>
              <w:tabs>
                <w:tab w:val="left" w:pos="3261"/>
              </w:tabs>
              <w:spacing w:after="0"/>
              <w:ind w:left="69"/>
              <w:jc w:val="center"/>
              <w:rPr>
                <w:rFonts w:cs="Arial"/>
              </w:rPr>
            </w:pPr>
          </w:p>
        </w:tc>
        <w:tc>
          <w:tcPr>
            <w:tcW w:w="4110" w:type="dxa"/>
            <w:gridSpan w:val="4"/>
            <w:shd w:val="clear" w:color="auto" w:fill="auto"/>
          </w:tcPr>
          <w:p w:rsidR="004175F0" w:rsidRPr="00CA1F0A" w:rsidRDefault="004175F0" w:rsidP="00537DEE">
            <w:pPr>
              <w:tabs>
                <w:tab w:val="left" w:pos="3261"/>
              </w:tabs>
              <w:spacing w:after="0"/>
              <w:ind w:left="69"/>
              <w:jc w:val="center"/>
              <w:rPr>
                <w:rFonts w:cs="Arial"/>
              </w:rPr>
            </w:pPr>
            <w:r w:rsidRPr="00CA1F0A">
              <w:rPr>
                <w:rFonts w:cs="Arial"/>
              </w:rPr>
              <w:t>Următorii 4 ani</w:t>
            </w:r>
          </w:p>
        </w:tc>
        <w:tc>
          <w:tcPr>
            <w:tcW w:w="992" w:type="dxa"/>
            <w:shd w:val="clear" w:color="auto" w:fill="auto"/>
          </w:tcPr>
          <w:p w:rsidR="004175F0" w:rsidRPr="00CA1F0A" w:rsidRDefault="004175F0" w:rsidP="00537DEE">
            <w:pPr>
              <w:tabs>
                <w:tab w:val="left" w:pos="3261"/>
              </w:tabs>
              <w:spacing w:after="0"/>
              <w:ind w:left="69"/>
              <w:jc w:val="center"/>
              <w:rPr>
                <w:rFonts w:cs="Arial"/>
              </w:rPr>
            </w:pPr>
            <w:r w:rsidRPr="00CA1F0A">
              <w:rPr>
                <w:rFonts w:cs="Arial"/>
              </w:rPr>
              <w:t>Media pe 5 ani</w:t>
            </w:r>
          </w:p>
        </w:tc>
      </w:tr>
      <w:tr w:rsidR="00EC7E47" w:rsidRPr="00CA1F0A" w:rsidTr="00096E7B">
        <w:tc>
          <w:tcPr>
            <w:tcW w:w="4289" w:type="dxa"/>
          </w:tcPr>
          <w:p w:rsidR="004175F0" w:rsidRPr="00CA1F0A" w:rsidRDefault="004175F0" w:rsidP="00537DEE">
            <w:pPr>
              <w:tabs>
                <w:tab w:val="left" w:pos="3261"/>
              </w:tabs>
              <w:spacing w:after="0"/>
              <w:ind w:left="69"/>
              <w:jc w:val="center"/>
              <w:rPr>
                <w:rFonts w:cs="Arial"/>
                <w:snapToGrid w:val="0"/>
              </w:rPr>
            </w:pPr>
            <w:r w:rsidRPr="00CA1F0A">
              <w:rPr>
                <w:rFonts w:cs="Arial"/>
                <w:snapToGrid w:val="0"/>
              </w:rPr>
              <w:t>1</w:t>
            </w:r>
          </w:p>
        </w:tc>
        <w:tc>
          <w:tcPr>
            <w:tcW w:w="992" w:type="dxa"/>
            <w:shd w:val="clear" w:color="auto" w:fill="auto"/>
          </w:tcPr>
          <w:p w:rsidR="004175F0" w:rsidRPr="00CA1F0A" w:rsidRDefault="004175F0" w:rsidP="00537DEE">
            <w:pPr>
              <w:tabs>
                <w:tab w:val="left" w:pos="3261"/>
              </w:tabs>
              <w:spacing w:after="0"/>
              <w:ind w:left="69"/>
              <w:jc w:val="center"/>
              <w:rPr>
                <w:rFonts w:cs="Arial"/>
              </w:rPr>
            </w:pPr>
            <w:r w:rsidRPr="00CA1F0A">
              <w:rPr>
                <w:rFonts w:cs="Arial"/>
              </w:rPr>
              <w:t>2</w:t>
            </w:r>
          </w:p>
          <w:p w:rsidR="004175F0" w:rsidRPr="00CA1F0A" w:rsidRDefault="00FA2B85" w:rsidP="00537DEE">
            <w:pPr>
              <w:tabs>
                <w:tab w:val="left" w:pos="3261"/>
              </w:tabs>
              <w:spacing w:after="0"/>
              <w:ind w:left="69"/>
              <w:jc w:val="center"/>
              <w:rPr>
                <w:rFonts w:cs="Arial"/>
              </w:rPr>
            </w:pPr>
            <w:r w:rsidRPr="00CA1F0A">
              <w:rPr>
                <w:rFonts w:cs="Arial"/>
              </w:rPr>
              <w:t>202</w:t>
            </w:r>
            <w:r w:rsidR="004264A4" w:rsidRPr="00CA1F0A">
              <w:rPr>
                <w:rFonts w:cs="Arial"/>
              </w:rPr>
              <w:t>2</w:t>
            </w:r>
          </w:p>
        </w:tc>
        <w:tc>
          <w:tcPr>
            <w:tcW w:w="1059" w:type="dxa"/>
            <w:shd w:val="clear" w:color="auto" w:fill="auto"/>
          </w:tcPr>
          <w:p w:rsidR="004175F0" w:rsidRPr="00CA1F0A" w:rsidRDefault="004175F0" w:rsidP="00537DEE">
            <w:pPr>
              <w:tabs>
                <w:tab w:val="left" w:pos="3261"/>
              </w:tabs>
              <w:spacing w:after="0"/>
              <w:ind w:left="69"/>
              <w:jc w:val="center"/>
              <w:rPr>
                <w:rFonts w:cs="Arial"/>
              </w:rPr>
            </w:pPr>
            <w:r w:rsidRPr="00CA1F0A">
              <w:rPr>
                <w:rFonts w:cs="Arial"/>
              </w:rPr>
              <w:t>3</w:t>
            </w:r>
          </w:p>
          <w:p w:rsidR="004175F0" w:rsidRPr="00CA1F0A" w:rsidRDefault="00FA2B85" w:rsidP="00537DEE">
            <w:pPr>
              <w:tabs>
                <w:tab w:val="left" w:pos="3261"/>
              </w:tabs>
              <w:spacing w:after="0"/>
              <w:ind w:left="69"/>
              <w:jc w:val="center"/>
              <w:rPr>
                <w:rFonts w:cs="Arial"/>
              </w:rPr>
            </w:pPr>
            <w:r w:rsidRPr="00CA1F0A">
              <w:rPr>
                <w:rFonts w:cs="Arial"/>
              </w:rPr>
              <w:t>202</w:t>
            </w:r>
            <w:r w:rsidR="004264A4" w:rsidRPr="00CA1F0A">
              <w:rPr>
                <w:rFonts w:cs="Arial"/>
              </w:rPr>
              <w:t>3</w:t>
            </w:r>
          </w:p>
        </w:tc>
        <w:tc>
          <w:tcPr>
            <w:tcW w:w="1067" w:type="dxa"/>
            <w:shd w:val="clear" w:color="auto" w:fill="auto"/>
          </w:tcPr>
          <w:p w:rsidR="004175F0" w:rsidRPr="00CA1F0A" w:rsidRDefault="004175F0" w:rsidP="00537DEE">
            <w:pPr>
              <w:tabs>
                <w:tab w:val="left" w:pos="3261"/>
              </w:tabs>
              <w:spacing w:after="0"/>
              <w:ind w:left="69"/>
              <w:jc w:val="center"/>
              <w:rPr>
                <w:rFonts w:cs="Arial"/>
              </w:rPr>
            </w:pPr>
            <w:r w:rsidRPr="00CA1F0A">
              <w:rPr>
                <w:rFonts w:cs="Arial"/>
              </w:rPr>
              <w:t>4</w:t>
            </w:r>
          </w:p>
          <w:p w:rsidR="004175F0" w:rsidRPr="00CA1F0A" w:rsidRDefault="00FA2B85" w:rsidP="00537DEE">
            <w:pPr>
              <w:tabs>
                <w:tab w:val="left" w:pos="3261"/>
              </w:tabs>
              <w:spacing w:after="0"/>
              <w:ind w:left="69"/>
              <w:jc w:val="center"/>
              <w:rPr>
                <w:rFonts w:cs="Arial"/>
              </w:rPr>
            </w:pPr>
            <w:r w:rsidRPr="00CA1F0A">
              <w:rPr>
                <w:rFonts w:cs="Arial"/>
              </w:rPr>
              <w:t>202</w:t>
            </w:r>
            <w:r w:rsidR="004264A4" w:rsidRPr="00CA1F0A">
              <w:rPr>
                <w:rFonts w:cs="Arial"/>
              </w:rPr>
              <w:t>4</w:t>
            </w:r>
          </w:p>
        </w:tc>
        <w:tc>
          <w:tcPr>
            <w:tcW w:w="992" w:type="dxa"/>
            <w:shd w:val="clear" w:color="auto" w:fill="auto"/>
          </w:tcPr>
          <w:p w:rsidR="004175F0" w:rsidRPr="00CA1F0A" w:rsidRDefault="004175F0" w:rsidP="00537DEE">
            <w:pPr>
              <w:tabs>
                <w:tab w:val="left" w:pos="3261"/>
              </w:tabs>
              <w:spacing w:after="0"/>
              <w:ind w:left="69"/>
              <w:jc w:val="center"/>
              <w:rPr>
                <w:rFonts w:cs="Arial"/>
              </w:rPr>
            </w:pPr>
            <w:r w:rsidRPr="00CA1F0A">
              <w:rPr>
                <w:rFonts w:cs="Arial"/>
              </w:rPr>
              <w:t>5</w:t>
            </w:r>
          </w:p>
          <w:p w:rsidR="004175F0" w:rsidRPr="00CA1F0A" w:rsidRDefault="00FA2B85" w:rsidP="00537DEE">
            <w:pPr>
              <w:tabs>
                <w:tab w:val="left" w:pos="3261"/>
              </w:tabs>
              <w:spacing w:after="0"/>
              <w:ind w:left="69"/>
              <w:jc w:val="center"/>
              <w:rPr>
                <w:rFonts w:cs="Arial"/>
              </w:rPr>
            </w:pPr>
            <w:r w:rsidRPr="00CA1F0A">
              <w:rPr>
                <w:rFonts w:cs="Arial"/>
              </w:rPr>
              <w:t>202</w:t>
            </w:r>
            <w:r w:rsidR="004264A4" w:rsidRPr="00CA1F0A">
              <w:rPr>
                <w:rFonts w:cs="Arial"/>
              </w:rPr>
              <w:t>5</w:t>
            </w:r>
          </w:p>
        </w:tc>
        <w:tc>
          <w:tcPr>
            <w:tcW w:w="992" w:type="dxa"/>
            <w:shd w:val="clear" w:color="auto" w:fill="auto"/>
          </w:tcPr>
          <w:p w:rsidR="004175F0" w:rsidRPr="00CA1F0A" w:rsidRDefault="004175F0" w:rsidP="00537DEE">
            <w:pPr>
              <w:tabs>
                <w:tab w:val="left" w:pos="3261"/>
              </w:tabs>
              <w:spacing w:after="0"/>
              <w:ind w:left="69"/>
              <w:jc w:val="center"/>
              <w:rPr>
                <w:rFonts w:cs="Arial"/>
              </w:rPr>
            </w:pPr>
            <w:r w:rsidRPr="00CA1F0A">
              <w:rPr>
                <w:rFonts w:cs="Arial"/>
              </w:rPr>
              <w:t>6</w:t>
            </w:r>
          </w:p>
          <w:p w:rsidR="004175F0" w:rsidRPr="00CA1F0A" w:rsidRDefault="00FA2B85" w:rsidP="00537DEE">
            <w:pPr>
              <w:tabs>
                <w:tab w:val="left" w:pos="3261"/>
              </w:tabs>
              <w:spacing w:after="0"/>
              <w:ind w:left="69"/>
              <w:jc w:val="center"/>
              <w:rPr>
                <w:rFonts w:cs="Arial"/>
              </w:rPr>
            </w:pPr>
            <w:r w:rsidRPr="00CA1F0A">
              <w:rPr>
                <w:rFonts w:cs="Arial"/>
              </w:rPr>
              <w:t>202</w:t>
            </w:r>
            <w:r w:rsidR="004264A4" w:rsidRPr="00CA1F0A">
              <w:rPr>
                <w:rFonts w:cs="Arial"/>
              </w:rPr>
              <w:t>6</w:t>
            </w:r>
          </w:p>
        </w:tc>
        <w:tc>
          <w:tcPr>
            <w:tcW w:w="992" w:type="dxa"/>
            <w:shd w:val="clear" w:color="auto" w:fill="auto"/>
          </w:tcPr>
          <w:p w:rsidR="004175F0" w:rsidRPr="00CA1F0A" w:rsidRDefault="004175F0" w:rsidP="00537DEE">
            <w:pPr>
              <w:tabs>
                <w:tab w:val="left" w:pos="3261"/>
              </w:tabs>
              <w:spacing w:after="0"/>
              <w:ind w:left="69"/>
              <w:jc w:val="center"/>
              <w:rPr>
                <w:rFonts w:cs="Arial"/>
              </w:rPr>
            </w:pPr>
            <w:r w:rsidRPr="00CA1F0A">
              <w:rPr>
                <w:rFonts w:cs="Arial"/>
              </w:rPr>
              <w:t>7</w:t>
            </w:r>
          </w:p>
        </w:tc>
      </w:tr>
      <w:tr w:rsidR="00EC7E47" w:rsidRPr="00CA1F0A" w:rsidTr="00096E7B">
        <w:tc>
          <w:tcPr>
            <w:tcW w:w="4289" w:type="dxa"/>
          </w:tcPr>
          <w:p w:rsidR="004175F0" w:rsidRPr="00CA1F0A" w:rsidRDefault="004175F0" w:rsidP="00537DEE">
            <w:pPr>
              <w:tabs>
                <w:tab w:val="left" w:pos="3261"/>
              </w:tabs>
              <w:spacing w:after="0"/>
              <w:ind w:left="69"/>
              <w:rPr>
                <w:rFonts w:cs="Arial"/>
                <w:snapToGrid w:val="0"/>
              </w:rPr>
            </w:pPr>
            <w:r w:rsidRPr="00CA1F0A">
              <w:rPr>
                <w:rFonts w:cs="Arial"/>
                <w:snapToGrid w:val="0"/>
              </w:rPr>
              <w:t>1. Modificări ale veniturilor bugetare, plus/minus, din care:</w:t>
            </w:r>
          </w:p>
        </w:tc>
        <w:tc>
          <w:tcPr>
            <w:tcW w:w="6094" w:type="dxa"/>
            <w:gridSpan w:val="6"/>
            <w:shd w:val="clear" w:color="auto" w:fill="auto"/>
          </w:tcPr>
          <w:p w:rsidR="004175F0" w:rsidRPr="00CA1F0A" w:rsidRDefault="004175F0" w:rsidP="00537DEE">
            <w:pPr>
              <w:tabs>
                <w:tab w:val="left" w:pos="3261"/>
              </w:tabs>
              <w:spacing w:after="0"/>
              <w:ind w:left="69"/>
              <w:jc w:val="center"/>
              <w:rPr>
                <w:rFonts w:cs="Arial"/>
              </w:rPr>
            </w:pPr>
          </w:p>
        </w:tc>
      </w:tr>
      <w:tr w:rsidR="00EC7E47" w:rsidRPr="00CA1F0A" w:rsidTr="00096E7B">
        <w:tc>
          <w:tcPr>
            <w:tcW w:w="4289" w:type="dxa"/>
          </w:tcPr>
          <w:p w:rsidR="004175F0" w:rsidRPr="00CA1F0A" w:rsidRDefault="004175F0" w:rsidP="00537DEE">
            <w:pPr>
              <w:tabs>
                <w:tab w:val="left" w:pos="3261"/>
              </w:tabs>
              <w:spacing w:after="0"/>
              <w:ind w:left="69"/>
              <w:rPr>
                <w:rFonts w:cs="Arial"/>
                <w:snapToGrid w:val="0"/>
              </w:rPr>
            </w:pPr>
            <w:r w:rsidRPr="00CA1F0A">
              <w:rPr>
                <w:rFonts w:cs="Arial"/>
                <w:snapToGrid w:val="0"/>
              </w:rPr>
              <w:t>a) buget de stat, din acesta:</w:t>
            </w: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1059" w:type="dxa"/>
            <w:shd w:val="clear" w:color="auto" w:fill="auto"/>
          </w:tcPr>
          <w:p w:rsidR="004175F0" w:rsidRPr="00CA1F0A" w:rsidRDefault="004175F0" w:rsidP="00537DEE">
            <w:pPr>
              <w:tabs>
                <w:tab w:val="left" w:pos="3261"/>
              </w:tabs>
              <w:spacing w:after="0"/>
              <w:ind w:left="69"/>
              <w:jc w:val="center"/>
              <w:rPr>
                <w:rFonts w:cs="Arial"/>
              </w:rPr>
            </w:pPr>
          </w:p>
        </w:tc>
        <w:tc>
          <w:tcPr>
            <w:tcW w:w="1067"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r>
      <w:tr w:rsidR="00EC7E47" w:rsidRPr="00CA1F0A" w:rsidTr="00096E7B">
        <w:tc>
          <w:tcPr>
            <w:tcW w:w="4289" w:type="dxa"/>
          </w:tcPr>
          <w:p w:rsidR="004175F0" w:rsidRPr="00CA1F0A" w:rsidRDefault="004175F0" w:rsidP="00537DEE">
            <w:pPr>
              <w:tabs>
                <w:tab w:val="left" w:pos="3261"/>
              </w:tabs>
              <w:spacing w:after="0"/>
              <w:ind w:left="69"/>
              <w:rPr>
                <w:rFonts w:cs="Arial"/>
                <w:snapToGrid w:val="0"/>
              </w:rPr>
            </w:pPr>
            <w:r w:rsidRPr="00CA1F0A">
              <w:rPr>
                <w:rFonts w:cs="Arial"/>
                <w:snapToGrid w:val="0"/>
              </w:rPr>
              <w:t>(i) impozit pe profit</w:t>
            </w: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1059" w:type="dxa"/>
            <w:shd w:val="clear" w:color="auto" w:fill="auto"/>
          </w:tcPr>
          <w:p w:rsidR="004175F0" w:rsidRPr="00CA1F0A" w:rsidRDefault="004175F0" w:rsidP="00537DEE">
            <w:pPr>
              <w:tabs>
                <w:tab w:val="left" w:pos="3261"/>
              </w:tabs>
              <w:spacing w:after="0"/>
              <w:ind w:left="69"/>
              <w:jc w:val="center"/>
              <w:rPr>
                <w:rFonts w:cs="Arial"/>
              </w:rPr>
            </w:pPr>
          </w:p>
        </w:tc>
        <w:tc>
          <w:tcPr>
            <w:tcW w:w="1067"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r>
      <w:tr w:rsidR="00EC7E47" w:rsidRPr="00CA1F0A" w:rsidTr="00096E7B">
        <w:tc>
          <w:tcPr>
            <w:tcW w:w="4289" w:type="dxa"/>
          </w:tcPr>
          <w:p w:rsidR="004175F0" w:rsidRPr="00CA1F0A" w:rsidRDefault="004175F0" w:rsidP="00537DEE">
            <w:pPr>
              <w:tabs>
                <w:tab w:val="left" w:pos="3261"/>
              </w:tabs>
              <w:spacing w:after="0"/>
              <w:ind w:left="69"/>
              <w:rPr>
                <w:rFonts w:cs="Arial"/>
                <w:snapToGrid w:val="0"/>
              </w:rPr>
            </w:pPr>
            <w:r w:rsidRPr="00CA1F0A">
              <w:rPr>
                <w:rFonts w:cs="Arial"/>
                <w:snapToGrid w:val="0"/>
              </w:rPr>
              <w:t>(ii) impozit pe venit</w:t>
            </w: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1059" w:type="dxa"/>
            <w:shd w:val="clear" w:color="auto" w:fill="auto"/>
          </w:tcPr>
          <w:p w:rsidR="004175F0" w:rsidRPr="00CA1F0A" w:rsidRDefault="004175F0" w:rsidP="00537DEE">
            <w:pPr>
              <w:tabs>
                <w:tab w:val="left" w:pos="3261"/>
              </w:tabs>
              <w:spacing w:after="0"/>
              <w:ind w:left="69"/>
              <w:jc w:val="center"/>
              <w:rPr>
                <w:rFonts w:cs="Arial"/>
              </w:rPr>
            </w:pPr>
          </w:p>
        </w:tc>
        <w:tc>
          <w:tcPr>
            <w:tcW w:w="1067"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r>
      <w:tr w:rsidR="00EC7E47" w:rsidRPr="00CA1F0A" w:rsidTr="00096E7B">
        <w:tc>
          <w:tcPr>
            <w:tcW w:w="4289" w:type="dxa"/>
          </w:tcPr>
          <w:p w:rsidR="004175F0" w:rsidRPr="00CA1F0A" w:rsidRDefault="004175F0" w:rsidP="00537DEE">
            <w:pPr>
              <w:tabs>
                <w:tab w:val="left" w:pos="3261"/>
              </w:tabs>
              <w:spacing w:after="0"/>
              <w:ind w:left="69"/>
              <w:rPr>
                <w:rFonts w:cs="Arial"/>
                <w:snapToGrid w:val="0"/>
              </w:rPr>
            </w:pPr>
            <w:r w:rsidRPr="00CA1F0A">
              <w:rPr>
                <w:rFonts w:cs="Arial"/>
                <w:snapToGrid w:val="0"/>
              </w:rPr>
              <w:t>b) bugete locale:</w:t>
            </w: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1059" w:type="dxa"/>
            <w:shd w:val="clear" w:color="auto" w:fill="auto"/>
          </w:tcPr>
          <w:p w:rsidR="004175F0" w:rsidRPr="00CA1F0A" w:rsidRDefault="004175F0" w:rsidP="00537DEE">
            <w:pPr>
              <w:tabs>
                <w:tab w:val="left" w:pos="3261"/>
              </w:tabs>
              <w:spacing w:after="0"/>
              <w:ind w:left="69"/>
              <w:jc w:val="center"/>
              <w:rPr>
                <w:rFonts w:cs="Arial"/>
              </w:rPr>
            </w:pPr>
          </w:p>
        </w:tc>
        <w:tc>
          <w:tcPr>
            <w:tcW w:w="1067"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r>
      <w:tr w:rsidR="00EC7E47" w:rsidRPr="00CA1F0A" w:rsidTr="00096E7B">
        <w:tc>
          <w:tcPr>
            <w:tcW w:w="4289" w:type="dxa"/>
          </w:tcPr>
          <w:p w:rsidR="004175F0" w:rsidRPr="00CA1F0A" w:rsidRDefault="004175F0" w:rsidP="00537DEE">
            <w:pPr>
              <w:tabs>
                <w:tab w:val="left" w:pos="3261"/>
              </w:tabs>
              <w:spacing w:after="0"/>
              <w:ind w:left="69"/>
              <w:rPr>
                <w:rFonts w:cs="Arial"/>
                <w:snapToGrid w:val="0"/>
              </w:rPr>
            </w:pPr>
            <w:r w:rsidRPr="00CA1F0A">
              <w:rPr>
                <w:rFonts w:cs="Arial"/>
                <w:snapToGrid w:val="0"/>
              </w:rPr>
              <w:t>(i) impozit pe profit</w:t>
            </w: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1059" w:type="dxa"/>
            <w:shd w:val="clear" w:color="auto" w:fill="auto"/>
          </w:tcPr>
          <w:p w:rsidR="004175F0" w:rsidRPr="00CA1F0A" w:rsidRDefault="004175F0" w:rsidP="00537DEE">
            <w:pPr>
              <w:tabs>
                <w:tab w:val="left" w:pos="3261"/>
              </w:tabs>
              <w:spacing w:after="0"/>
              <w:ind w:left="69"/>
              <w:jc w:val="center"/>
              <w:rPr>
                <w:rFonts w:cs="Arial"/>
              </w:rPr>
            </w:pPr>
          </w:p>
        </w:tc>
        <w:tc>
          <w:tcPr>
            <w:tcW w:w="1067"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r>
      <w:tr w:rsidR="00EC7E47" w:rsidRPr="00CA1F0A" w:rsidTr="00096E7B">
        <w:tc>
          <w:tcPr>
            <w:tcW w:w="4289" w:type="dxa"/>
          </w:tcPr>
          <w:p w:rsidR="004175F0" w:rsidRPr="00CA1F0A" w:rsidRDefault="004175F0" w:rsidP="00537DEE">
            <w:pPr>
              <w:tabs>
                <w:tab w:val="left" w:pos="3261"/>
              </w:tabs>
              <w:spacing w:after="0"/>
              <w:ind w:left="69"/>
              <w:rPr>
                <w:rFonts w:cs="Arial"/>
                <w:snapToGrid w:val="0"/>
              </w:rPr>
            </w:pPr>
            <w:r w:rsidRPr="00CA1F0A">
              <w:rPr>
                <w:rFonts w:cs="Arial"/>
                <w:snapToGrid w:val="0"/>
              </w:rPr>
              <w:t>c) bugetul asigurărilor sociale de stat:</w:t>
            </w: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1059" w:type="dxa"/>
            <w:shd w:val="clear" w:color="auto" w:fill="auto"/>
          </w:tcPr>
          <w:p w:rsidR="004175F0" w:rsidRPr="00CA1F0A" w:rsidRDefault="004175F0" w:rsidP="00537DEE">
            <w:pPr>
              <w:tabs>
                <w:tab w:val="left" w:pos="3261"/>
              </w:tabs>
              <w:spacing w:after="0"/>
              <w:ind w:left="69"/>
              <w:jc w:val="center"/>
              <w:rPr>
                <w:rFonts w:cs="Arial"/>
              </w:rPr>
            </w:pPr>
          </w:p>
        </w:tc>
        <w:tc>
          <w:tcPr>
            <w:tcW w:w="1067"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r>
      <w:tr w:rsidR="00EC7E47" w:rsidRPr="00CA1F0A" w:rsidTr="00096E7B">
        <w:tc>
          <w:tcPr>
            <w:tcW w:w="4289" w:type="dxa"/>
          </w:tcPr>
          <w:p w:rsidR="004175F0" w:rsidRPr="00CA1F0A" w:rsidRDefault="004175F0" w:rsidP="00537DEE">
            <w:pPr>
              <w:tabs>
                <w:tab w:val="left" w:pos="3261"/>
              </w:tabs>
              <w:spacing w:after="0"/>
              <w:ind w:left="69"/>
              <w:rPr>
                <w:rFonts w:cs="Arial"/>
                <w:snapToGrid w:val="0"/>
              </w:rPr>
            </w:pPr>
            <w:r w:rsidRPr="00CA1F0A">
              <w:rPr>
                <w:rFonts w:cs="Arial"/>
                <w:snapToGrid w:val="0"/>
              </w:rPr>
              <w:t xml:space="preserve">(i) </w:t>
            </w:r>
            <w:r w:rsidR="00270281" w:rsidRPr="00CA1F0A">
              <w:rPr>
                <w:rFonts w:cs="Arial"/>
                <w:snapToGrid w:val="0"/>
              </w:rPr>
              <w:t>contribuții</w:t>
            </w:r>
            <w:r w:rsidRPr="00CA1F0A">
              <w:rPr>
                <w:rFonts w:cs="Arial"/>
                <w:snapToGrid w:val="0"/>
              </w:rPr>
              <w:t xml:space="preserve"> de asigurări</w:t>
            </w: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1059" w:type="dxa"/>
            <w:shd w:val="clear" w:color="auto" w:fill="auto"/>
          </w:tcPr>
          <w:p w:rsidR="004175F0" w:rsidRPr="00CA1F0A" w:rsidRDefault="004175F0" w:rsidP="00537DEE">
            <w:pPr>
              <w:tabs>
                <w:tab w:val="left" w:pos="3261"/>
              </w:tabs>
              <w:spacing w:after="0"/>
              <w:ind w:left="69"/>
              <w:jc w:val="center"/>
              <w:rPr>
                <w:rFonts w:cs="Arial"/>
              </w:rPr>
            </w:pPr>
          </w:p>
        </w:tc>
        <w:tc>
          <w:tcPr>
            <w:tcW w:w="1067"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c>
          <w:tcPr>
            <w:tcW w:w="992" w:type="dxa"/>
            <w:shd w:val="clear" w:color="auto" w:fill="auto"/>
          </w:tcPr>
          <w:p w:rsidR="004175F0" w:rsidRPr="00CA1F0A" w:rsidRDefault="004175F0" w:rsidP="00537DEE">
            <w:pPr>
              <w:tabs>
                <w:tab w:val="left" w:pos="3261"/>
              </w:tabs>
              <w:spacing w:after="0"/>
              <w:ind w:left="69"/>
              <w:jc w:val="center"/>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2. Modificări ale cheltuielilor bugetare, plus/minus, din care:</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a) buget de stat, din acesta:</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(i) cheltuieli de personal</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(ii) bunuri şi servicii</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b) bugete locale</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(i) cheltuieli de personal</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(ii) bunuri şi servicii</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c) bugetul asigurărilor sociale de stat:</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(i) cheltuieli de personal</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r>
      <w:tr w:rsidR="004C68CA" w:rsidRPr="00CA1F0A" w:rsidTr="00096E7B">
        <w:tc>
          <w:tcPr>
            <w:tcW w:w="4289" w:type="dxa"/>
          </w:tcPr>
          <w:p w:rsidR="004C68CA" w:rsidRPr="00CA1F0A" w:rsidRDefault="004C68CA" w:rsidP="00537DEE">
            <w:pPr>
              <w:tabs>
                <w:tab w:val="left" w:pos="3261"/>
              </w:tabs>
              <w:spacing w:after="0"/>
              <w:ind w:left="69"/>
              <w:rPr>
                <w:rFonts w:cs="Arial"/>
                <w:snapToGrid w:val="0"/>
              </w:rPr>
            </w:pPr>
            <w:r w:rsidRPr="00CA1F0A">
              <w:rPr>
                <w:rFonts w:cs="Arial"/>
                <w:snapToGrid w:val="0"/>
              </w:rPr>
              <w:t>(ii) bunuri şi servicii</w:t>
            </w: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4C68CA" w:rsidRPr="00CA1F0A" w:rsidRDefault="004C68CA" w:rsidP="00537DEE">
            <w:pPr>
              <w:tabs>
                <w:tab w:val="left" w:pos="3261"/>
              </w:tabs>
              <w:spacing w:after="0"/>
              <w:ind w:left="69"/>
              <w:jc w:val="center"/>
              <w:rPr>
                <w:rFonts w:cs="Arial"/>
              </w:rPr>
            </w:pPr>
          </w:p>
        </w:tc>
      </w:tr>
      <w:tr w:rsidR="00B95545" w:rsidRPr="00CA1F0A" w:rsidTr="00096E7B">
        <w:tc>
          <w:tcPr>
            <w:tcW w:w="4289" w:type="dxa"/>
          </w:tcPr>
          <w:p w:rsidR="00B95545" w:rsidRPr="00CA1F0A" w:rsidRDefault="00B95545" w:rsidP="00537DEE">
            <w:pPr>
              <w:tabs>
                <w:tab w:val="left" w:pos="3261"/>
              </w:tabs>
              <w:spacing w:after="0"/>
              <w:ind w:left="69"/>
              <w:rPr>
                <w:rFonts w:cs="Arial"/>
                <w:snapToGrid w:val="0"/>
              </w:rPr>
            </w:pPr>
            <w:r w:rsidRPr="00CA1F0A">
              <w:rPr>
                <w:rFonts w:cs="Arial"/>
                <w:snapToGrid w:val="0"/>
              </w:rPr>
              <w:t>3. Impact financiar, plus/minus, din care:</w:t>
            </w: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r>
      <w:tr w:rsidR="00B95545" w:rsidRPr="00CA1F0A" w:rsidTr="00096E7B">
        <w:tc>
          <w:tcPr>
            <w:tcW w:w="4289" w:type="dxa"/>
          </w:tcPr>
          <w:p w:rsidR="00B95545" w:rsidRPr="00CA1F0A" w:rsidRDefault="00B95545" w:rsidP="00537DEE">
            <w:pPr>
              <w:tabs>
                <w:tab w:val="left" w:pos="3261"/>
              </w:tabs>
              <w:spacing w:after="0"/>
              <w:ind w:left="69"/>
              <w:rPr>
                <w:rFonts w:cs="Arial"/>
                <w:snapToGrid w:val="0"/>
              </w:rPr>
            </w:pPr>
            <w:r w:rsidRPr="00CA1F0A">
              <w:rPr>
                <w:rFonts w:cs="Arial"/>
                <w:snapToGrid w:val="0"/>
              </w:rPr>
              <w:lastRenderedPageBreak/>
              <w:t>a) buget de stat</w:t>
            </w: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r>
      <w:tr w:rsidR="00B95545" w:rsidRPr="00CA1F0A" w:rsidTr="00096E7B">
        <w:tc>
          <w:tcPr>
            <w:tcW w:w="4289" w:type="dxa"/>
          </w:tcPr>
          <w:p w:rsidR="00B95545" w:rsidRPr="00CA1F0A" w:rsidRDefault="00B95545" w:rsidP="00537DEE">
            <w:pPr>
              <w:tabs>
                <w:tab w:val="left" w:pos="3261"/>
              </w:tabs>
              <w:spacing w:after="0"/>
              <w:ind w:left="69"/>
              <w:rPr>
                <w:rFonts w:cs="Arial"/>
                <w:snapToGrid w:val="0"/>
              </w:rPr>
            </w:pPr>
            <w:r w:rsidRPr="00CA1F0A">
              <w:rPr>
                <w:rFonts w:cs="Arial"/>
                <w:snapToGrid w:val="0"/>
              </w:rPr>
              <w:t>(i) cheltuieli de personal</w:t>
            </w: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1059"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1067"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95545" w:rsidRPr="00CA1F0A" w:rsidRDefault="00B95545" w:rsidP="00537DEE">
            <w:pPr>
              <w:tabs>
                <w:tab w:val="left" w:pos="3261"/>
              </w:tabs>
              <w:spacing w:after="0"/>
              <w:ind w:left="69"/>
              <w:jc w:val="center"/>
              <w:rPr>
                <w:rFonts w:cs="Arial"/>
              </w:rPr>
            </w:pPr>
          </w:p>
        </w:tc>
      </w:tr>
      <w:tr w:rsidR="00B95545" w:rsidRPr="00CA1F0A" w:rsidTr="00096E7B">
        <w:tc>
          <w:tcPr>
            <w:tcW w:w="4289" w:type="dxa"/>
          </w:tcPr>
          <w:p w:rsidR="00B95545" w:rsidRPr="00CA1F0A" w:rsidRDefault="00B95545" w:rsidP="00537DEE">
            <w:pPr>
              <w:tabs>
                <w:tab w:val="left" w:pos="3261"/>
              </w:tabs>
              <w:spacing w:after="0"/>
              <w:ind w:left="69"/>
              <w:rPr>
                <w:rFonts w:cs="Arial"/>
                <w:snapToGrid w:val="0"/>
              </w:rPr>
            </w:pPr>
            <w:r w:rsidRPr="00CA1F0A">
              <w:rPr>
                <w:rFonts w:cs="Arial"/>
                <w:snapToGrid w:val="0"/>
              </w:rPr>
              <w:t>b) bugetele locale</w:t>
            </w:r>
          </w:p>
        </w:tc>
        <w:tc>
          <w:tcPr>
            <w:tcW w:w="992" w:type="dxa"/>
            <w:shd w:val="clear" w:color="auto" w:fill="auto"/>
          </w:tcPr>
          <w:p w:rsidR="00B95545" w:rsidRPr="00CA1F0A" w:rsidRDefault="00B95545" w:rsidP="00537DEE">
            <w:pPr>
              <w:tabs>
                <w:tab w:val="left" w:pos="3261"/>
              </w:tabs>
              <w:spacing w:after="0"/>
              <w:ind w:left="69"/>
              <w:jc w:val="center"/>
              <w:rPr>
                <w:rFonts w:cs="Arial"/>
              </w:rPr>
            </w:pPr>
          </w:p>
        </w:tc>
        <w:tc>
          <w:tcPr>
            <w:tcW w:w="1059" w:type="dxa"/>
            <w:shd w:val="clear" w:color="auto" w:fill="auto"/>
          </w:tcPr>
          <w:p w:rsidR="00B95545" w:rsidRPr="00CA1F0A" w:rsidRDefault="00B95545" w:rsidP="00537DEE">
            <w:pPr>
              <w:tabs>
                <w:tab w:val="left" w:pos="3261"/>
              </w:tabs>
              <w:spacing w:after="0"/>
              <w:ind w:left="69"/>
              <w:jc w:val="center"/>
              <w:rPr>
                <w:rFonts w:cs="Arial"/>
              </w:rPr>
            </w:pPr>
          </w:p>
        </w:tc>
        <w:tc>
          <w:tcPr>
            <w:tcW w:w="1067" w:type="dxa"/>
            <w:shd w:val="clear" w:color="auto" w:fill="auto"/>
          </w:tcPr>
          <w:p w:rsidR="00B95545" w:rsidRPr="00CA1F0A" w:rsidRDefault="00B95545" w:rsidP="00537DEE">
            <w:pPr>
              <w:tabs>
                <w:tab w:val="left" w:pos="3261"/>
              </w:tabs>
              <w:spacing w:after="0"/>
              <w:ind w:left="69"/>
              <w:jc w:val="center"/>
              <w:rPr>
                <w:rFonts w:cs="Arial"/>
              </w:rPr>
            </w:pPr>
          </w:p>
        </w:tc>
        <w:tc>
          <w:tcPr>
            <w:tcW w:w="992" w:type="dxa"/>
            <w:shd w:val="clear" w:color="auto" w:fill="auto"/>
          </w:tcPr>
          <w:p w:rsidR="00B95545" w:rsidRPr="00CA1F0A" w:rsidRDefault="00B95545" w:rsidP="00537DEE">
            <w:pPr>
              <w:tabs>
                <w:tab w:val="left" w:pos="3261"/>
              </w:tabs>
              <w:spacing w:after="0"/>
              <w:ind w:left="69"/>
              <w:jc w:val="center"/>
              <w:rPr>
                <w:rFonts w:cs="Arial"/>
              </w:rPr>
            </w:pPr>
          </w:p>
        </w:tc>
        <w:tc>
          <w:tcPr>
            <w:tcW w:w="992" w:type="dxa"/>
            <w:shd w:val="clear" w:color="auto" w:fill="auto"/>
          </w:tcPr>
          <w:p w:rsidR="00B95545" w:rsidRPr="00CA1F0A" w:rsidRDefault="00B95545" w:rsidP="00537DEE">
            <w:pPr>
              <w:tabs>
                <w:tab w:val="left" w:pos="3261"/>
              </w:tabs>
              <w:spacing w:after="0"/>
              <w:ind w:left="69"/>
              <w:jc w:val="center"/>
              <w:rPr>
                <w:rFonts w:cs="Arial"/>
              </w:rPr>
            </w:pPr>
          </w:p>
        </w:tc>
        <w:tc>
          <w:tcPr>
            <w:tcW w:w="992" w:type="dxa"/>
            <w:shd w:val="clear" w:color="auto" w:fill="auto"/>
          </w:tcPr>
          <w:p w:rsidR="00B95545" w:rsidRPr="00CA1F0A" w:rsidRDefault="00B95545" w:rsidP="00537DEE">
            <w:pPr>
              <w:tabs>
                <w:tab w:val="left" w:pos="3261"/>
              </w:tabs>
              <w:spacing w:after="0"/>
              <w:ind w:left="69"/>
              <w:jc w:val="center"/>
              <w:rPr>
                <w:rFonts w:cs="Arial"/>
              </w:rPr>
            </w:pPr>
          </w:p>
        </w:tc>
      </w:tr>
      <w:tr w:rsidR="00B95545" w:rsidRPr="00CA1F0A" w:rsidTr="00096E7B">
        <w:tc>
          <w:tcPr>
            <w:tcW w:w="4289" w:type="dxa"/>
          </w:tcPr>
          <w:p w:rsidR="00B95545" w:rsidRPr="00CA1F0A" w:rsidRDefault="00B95545" w:rsidP="00537DEE">
            <w:pPr>
              <w:tabs>
                <w:tab w:val="left" w:pos="3261"/>
              </w:tabs>
              <w:spacing w:after="0"/>
              <w:ind w:left="69"/>
              <w:rPr>
                <w:rFonts w:cs="Arial"/>
                <w:snapToGrid w:val="0"/>
              </w:rPr>
            </w:pPr>
            <w:r w:rsidRPr="00CA1F0A">
              <w:rPr>
                <w:rFonts w:cs="Arial"/>
                <w:snapToGrid w:val="0"/>
              </w:rPr>
              <w:t xml:space="preserve">4. Propuneri pentru acoperirea </w:t>
            </w:r>
            <w:proofErr w:type="spellStart"/>
            <w:r w:rsidRPr="00CA1F0A">
              <w:rPr>
                <w:rFonts w:cs="Arial"/>
                <w:snapToGrid w:val="0"/>
              </w:rPr>
              <w:t>creşterii</w:t>
            </w:r>
            <w:proofErr w:type="spellEnd"/>
            <w:r w:rsidRPr="00CA1F0A">
              <w:rPr>
                <w:rFonts w:cs="Arial"/>
                <w:snapToGrid w:val="0"/>
              </w:rPr>
              <w:t xml:space="preserve"> cheltuielilor bugetare</w:t>
            </w:r>
          </w:p>
        </w:tc>
        <w:tc>
          <w:tcPr>
            <w:tcW w:w="6094" w:type="dxa"/>
            <w:gridSpan w:val="6"/>
            <w:shd w:val="clear" w:color="auto" w:fill="auto"/>
          </w:tcPr>
          <w:p w:rsidR="00B95545" w:rsidRPr="00CA1F0A" w:rsidRDefault="00B95545" w:rsidP="00537DEE">
            <w:pPr>
              <w:tabs>
                <w:tab w:val="left" w:pos="3261"/>
              </w:tabs>
              <w:spacing w:after="0"/>
              <w:ind w:left="69"/>
              <w:jc w:val="center"/>
              <w:rPr>
                <w:rFonts w:cs="Arial"/>
              </w:rPr>
            </w:pPr>
          </w:p>
        </w:tc>
      </w:tr>
      <w:tr w:rsidR="00B95545" w:rsidRPr="00CA1F0A" w:rsidTr="00096E7B">
        <w:tc>
          <w:tcPr>
            <w:tcW w:w="4289" w:type="dxa"/>
          </w:tcPr>
          <w:p w:rsidR="00B95545" w:rsidRPr="00CA1F0A" w:rsidRDefault="00B95545" w:rsidP="00537DEE">
            <w:pPr>
              <w:tabs>
                <w:tab w:val="left" w:pos="3261"/>
              </w:tabs>
              <w:spacing w:after="0"/>
              <w:ind w:left="69"/>
              <w:rPr>
                <w:rFonts w:cs="Arial"/>
                <w:snapToGrid w:val="0"/>
              </w:rPr>
            </w:pPr>
            <w:r w:rsidRPr="00CA1F0A">
              <w:rPr>
                <w:rFonts w:cs="Arial"/>
                <w:snapToGrid w:val="0"/>
              </w:rPr>
              <w:t>5. Propuneri pentru a compensa reducerea veniturilor bugetare</w:t>
            </w:r>
          </w:p>
        </w:tc>
        <w:tc>
          <w:tcPr>
            <w:tcW w:w="992" w:type="dxa"/>
            <w:shd w:val="clear" w:color="auto" w:fill="auto"/>
          </w:tcPr>
          <w:p w:rsidR="00B95545" w:rsidRPr="00CA1F0A" w:rsidRDefault="00B95545" w:rsidP="00537DEE">
            <w:pPr>
              <w:tabs>
                <w:tab w:val="left" w:pos="3261"/>
              </w:tabs>
              <w:spacing w:after="0"/>
              <w:ind w:left="69"/>
              <w:jc w:val="center"/>
              <w:rPr>
                <w:rFonts w:cs="Arial"/>
              </w:rPr>
            </w:pPr>
          </w:p>
        </w:tc>
        <w:tc>
          <w:tcPr>
            <w:tcW w:w="1059" w:type="dxa"/>
            <w:shd w:val="clear" w:color="auto" w:fill="auto"/>
          </w:tcPr>
          <w:p w:rsidR="00B95545" w:rsidRPr="00CA1F0A" w:rsidRDefault="00B95545" w:rsidP="00537DEE">
            <w:pPr>
              <w:tabs>
                <w:tab w:val="left" w:pos="3261"/>
              </w:tabs>
              <w:spacing w:after="0"/>
              <w:ind w:left="69"/>
              <w:jc w:val="center"/>
              <w:rPr>
                <w:rFonts w:cs="Arial"/>
              </w:rPr>
            </w:pPr>
          </w:p>
        </w:tc>
        <w:tc>
          <w:tcPr>
            <w:tcW w:w="1067" w:type="dxa"/>
            <w:shd w:val="clear" w:color="auto" w:fill="auto"/>
          </w:tcPr>
          <w:p w:rsidR="00B95545" w:rsidRPr="00CA1F0A" w:rsidRDefault="00B95545" w:rsidP="00537DEE">
            <w:pPr>
              <w:tabs>
                <w:tab w:val="left" w:pos="3261"/>
              </w:tabs>
              <w:spacing w:after="0"/>
              <w:ind w:left="69"/>
              <w:jc w:val="center"/>
              <w:rPr>
                <w:rFonts w:cs="Arial"/>
              </w:rPr>
            </w:pPr>
          </w:p>
        </w:tc>
        <w:tc>
          <w:tcPr>
            <w:tcW w:w="992" w:type="dxa"/>
            <w:shd w:val="clear" w:color="auto" w:fill="auto"/>
          </w:tcPr>
          <w:p w:rsidR="00B95545" w:rsidRPr="00CA1F0A" w:rsidRDefault="00B95545" w:rsidP="00537DEE">
            <w:pPr>
              <w:tabs>
                <w:tab w:val="left" w:pos="3261"/>
              </w:tabs>
              <w:spacing w:after="0"/>
              <w:ind w:left="69"/>
              <w:jc w:val="center"/>
              <w:rPr>
                <w:rFonts w:cs="Arial"/>
              </w:rPr>
            </w:pPr>
          </w:p>
        </w:tc>
        <w:tc>
          <w:tcPr>
            <w:tcW w:w="992" w:type="dxa"/>
            <w:shd w:val="clear" w:color="auto" w:fill="auto"/>
          </w:tcPr>
          <w:p w:rsidR="00B95545" w:rsidRPr="00CA1F0A" w:rsidRDefault="00B95545" w:rsidP="00537DEE">
            <w:pPr>
              <w:tabs>
                <w:tab w:val="left" w:pos="3261"/>
              </w:tabs>
              <w:spacing w:after="0"/>
              <w:ind w:left="69"/>
              <w:jc w:val="center"/>
              <w:rPr>
                <w:rFonts w:cs="Arial"/>
              </w:rPr>
            </w:pPr>
          </w:p>
        </w:tc>
        <w:tc>
          <w:tcPr>
            <w:tcW w:w="992" w:type="dxa"/>
            <w:shd w:val="clear" w:color="auto" w:fill="auto"/>
          </w:tcPr>
          <w:p w:rsidR="00B95545" w:rsidRPr="00CA1F0A" w:rsidRDefault="00B95545" w:rsidP="00537DEE">
            <w:pPr>
              <w:tabs>
                <w:tab w:val="left" w:pos="3261"/>
              </w:tabs>
              <w:spacing w:after="0"/>
              <w:ind w:left="69"/>
              <w:jc w:val="center"/>
              <w:rPr>
                <w:rFonts w:cs="Arial"/>
              </w:rPr>
            </w:pPr>
          </w:p>
        </w:tc>
      </w:tr>
      <w:tr w:rsidR="00B95545" w:rsidRPr="00CA1F0A" w:rsidTr="00096E7B">
        <w:tc>
          <w:tcPr>
            <w:tcW w:w="4289" w:type="dxa"/>
          </w:tcPr>
          <w:p w:rsidR="00B95545" w:rsidRPr="00CA1F0A" w:rsidRDefault="00B95545" w:rsidP="00537DEE">
            <w:pPr>
              <w:tabs>
                <w:tab w:val="left" w:pos="3261"/>
              </w:tabs>
              <w:spacing w:after="0"/>
              <w:ind w:left="69"/>
              <w:rPr>
                <w:rFonts w:cs="Arial"/>
                <w:snapToGrid w:val="0"/>
              </w:rPr>
            </w:pPr>
            <w:r w:rsidRPr="00CA1F0A">
              <w:rPr>
                <w:rFonts w:cs="Arial"/>
                <w:snapToGrid w:val="0"/>
              </w:rPr>
              <w:t>6. Calcule detaliate privind fundamentarea modificărilor veniturilor şi/sau cheltuielilor bugetare</w:t>
            </w:r>
          </w:p>
        </w:tc>
        <w:tc>
          <w:tcPr>
            <w:tcW w:w="6094" w:type="dxa"/>
            <w:gridSpan w:val="6"/>
            <w:shd w:val="clear" w:color="auto" w:fill="auto"/>
          </w:tcPr>
          <w:p w:rsidR="00B95545" w:rsidRPr="00CA1F0A" w:rsidRDefault="004264A4" w:rsidP="00537DEE">
            <w:pPr>
              <w:pStyle w:val="ListParagraph"/>
              <w:tabs>
                <w:tab w:val="left" w:pos="3261"/>
              </w:tabs>
              <w:spacing w:after="0"/>
              <w:ind w:left="69"/>
              <w:contextualSpacing w:val="0"/>
              <w:rPr>
                <w:rFonts w:cs="Arial"/>
              </w:rPr>
            </w:pPr>
            <w:r w:rsidRPr="00CA1F0A">
              <w:rPr>
                <w:rFonts w:cs="Arial"/>
              </w:rPr>
              <w:t xml:space="preserve">Proiectul nu are </w:t>
            </w:r>
            <w:proofErr w:type="spellStart"/>
            <w:r w:rsidRPr="00CA1F0A">
              <w:rPr>
                <w:rFonts w:cs="Arial"/>
              </w:rPr>
              <w:t>influenţă</w:t>
            </w:r>
            <w:proofErr w:type="spellEnd"/>
            <w:r w:rsidRPr="00CA1F0A">
              <w:rPr>
                <w:rFonts w:cs="Arial"/>
              </w:rPr>
              <w:t xml:space="preserve"> financiară. </w:t>
            </w:r>
          </w:p>
        </w:tc>
      </w:tr>
      <w:tr w:rsidR="00B95545" w:rsidRPr="00CA1F0A" w:rsidTr="00096E7B">
        <w:tc>
          <w:tcPr>
            <w:tcW w:w="4289" w:type="dxa"/>
          </w:tcPr>
          <w:p w:rsidR="00B95545" w:rsidRPr="00CA1F0A" w:rsidRDefault="00B95545" w:rsidP="00537DEE">
            <w:pPr>
              <w:tabs>
                <w:tab w:val="left" w:pos="3261"/>
              </w:tabs>
              <w:spacing w:after="0"/>
              <w:ind w:left="69"/>
              <w:rPr>
                <w:rFonts w:cs="Arial"/>
                <w:snapToGrid w:val="0"/>
              </w:rPr>
            </w:pPr>
            <w:r w:rsidRPr="00CA1F0A">
              <w:rPr>
                <w:rFonts w:cs="Arial"/>
                <w:snapToGrid w:val="0"/>
              </w:rPr>
              <w:t>7 Alte informații</w:t>
            </w:r>
          </w:p>
        </w:tc>
        <w:tc>
          <w:tcPr>
            <w:tcW w:w="6094" w:type="dxa"/>
            <w:gridSpan w:val="6"/>
            <w:shd w:val="clear" w:color="auto" w:fill="auto"/>
          </w:tcPr>
          <w:p w:rsidR="00B95545" w:rsidRPr="00CA1F0A" w:rsidRDefault="00B95545" w:rsidP="00537DEE">
            <w:pPr>
              <w:tabs>
                <w:tab w:val="left" w:pos="3261"/>
              </w:tabs>
              <w:spacing w:after="0"/>
              <w:ind w:left="69"/>
              <w:rPr>
                <w:rFonts w:cs="Arial"/>
                <w:bCs/>
              </w:rPr>
            </w:pPr>
          </w:p>
        </w:tc>
      </w:tr>
      <w:tr w:rsidR="00B95545" w:rsidRPr="00CA1F0A" w:rsidTr="00096E7B">
        <w:tc>
          <w:tcPr>
            <w:tcW w:w="10383" w:type="dxa"/>
            <w:gridSpan w:val="7"/>
          </w:tcPr>
          <w:p w:rsidR="00B95545" w:rsidRPr="00CA1F0A" w:rsidRDefault="00270281" w:rsidP="00537DEE">
            <w:pPr>
              <w:tabs>
                <w:tab w:val="left" w:pos="3261"/>
              </w:tabs>
              <w:spacing w:after="0"/>
              <w:ind w:left="69"/>
              <w:rPr>
                <w:rFonts w:cs="Arial"/>
                <w:b/>
                <w:snapToGrid w:val="0"/>
              </w:rPr>
            </w:pPr>
            <w:r w:rsidRPr="00CA1F0A">
              <w:rPr>
                <w:rFonts w:cs="Arial"/>
                <w:b/>
                <w:snapToGrid w:val="0"/>
              </w:rPr>
              <w:t>Secțiunea</w:t>
            </w:r>
            <w:r w:rsidR="00B95545" w:rsidRPr="00CA1F0A">
              <w:rPr>
                <w:rFonts w:cs="Arial"/>
                <w:b/>
                <w:snapToGrid w:val="0"/>
              </w:rPr>
              <w:t xml:space="preserve"> a 5 –a – Efectele proiectului de act normativ asupra </w:t>
            </w:r>
            <w:proofErr w:type="spellStart"/>
            <w:r w:rsidR="00B95545" w:rsidRPr="00CA1F0A">
              <w:rPr>
                <w:rFonts w:cs="Arial"/>
                <w:b/>
                <w:snapToGrid w:val="0"/>
              </w:rPr>
              <w:t>legislaţiei</w:t>
            </w:r>
            <w:proofErr w:type="spellEnd"/>
            <w:r w:rsidR="00B95545" w:rsidRPr="00CA1F0A">
              <w:rPr>
                <w:rFonts w:cs="Arial"/>
                <w:b/>
                <w:snapToGrid w:val="0"/>
              </w:rPr>
              <w:t xml:space="preserve"> în vigoare</w:t>
            </w:r>
          </w:p>
        </w:tc>
      </w:tr>
      <w:tr w:rsidR="00B95545" w:rsidRPr="00CA1F0A" w:rsidTr="00096E7B">
        <w:tc>
          <w:tcPr>
            <w:tcW w:w="4289" w:type="dxa"/>
          </w:tcPr>
          <w:p w:rsidR="00B95545" w:rsidRPr="00CA1F0A" w:rsidRDefault="00B95545" w:rsidP="00537DEE">
            <w:pPr>
              <w:tabs>
                <w:tab w:val="left" w:pos="3261"/>
              </w:tabs>
              <w:spacing w:after="0"/>
              <w:ind w:left="69" w:right="34"/>
              <w:rPr>
                <w:rFonts w:cs="Arial"/>
              </w:rPr>
            </w:pPr>
            <w:r w:rsidRPr="00CA1F0A">
              <w:rPr>
                <w:rFonts w:cs="Arial"/>
                <w:snapToGrid w:val="0"/>
              </w:rPr>
              <w:t xml:space="preserve">1. </w:t>
            </w:r>
            <w:r w:rsidRPr="00CA1F0A">
              <w:rPr>
                <w:rFonts w:cs="Arial"/>
              </w:rPr>
              <w:t xml:space="preserve">Măsuri normative necesare pentru   aplicarea prevederilor  proiectului de act normativ:                                            </w:t>
            </w:r>
          </w:p>
          <w:p w:rsidR="00B95545" w:rsidRPr="00CA1F0A" w:rsidRDefault="00B95545" w:rsidP="00537DEE">
            <w:pPr>
              <w:tabs>
                <w:tab w:val="left" w:pos="3261"/>
              </w:tabs>
              <w:spacing w:after="0"/>
              <w:ind w:left="69" w:right="34"/>
              <w:rPr>
                <w:rFonts w:cs="Arial"/>
              </w:rPr>
            </w:pPr>
            <w:r w:rsidRPr="00CA1F0A">
              <w:rPr>
                <w:rFonts w:cs="Arial"/>
              </w:rPr>
              <w:t xml:space="preserve">a) acte normative în vigoare ce vor    fi modificate sau abrogate, ca   urmare a intrării în vigoare a       proiectului de act normativ;    </w:t>
            </w:r>
          </w:p>
          <w:p w:rsidR="00B95545" w:rsidRPr="00CA1F0A" w:rsidRDefault="00B95545" w:rsidP="00537DEE">
            <w:pPr>
              <w:tabs>
                <w:tab w:val="left" w:pos="3261"/>
              </w:tabs>
              <w:spacing w:after="0"/>
              <w:ind w:left="69" w:right="34"/>
              <w:rPr>
                <w:rFonts w:cs="Arial"/>
                <w:snapToGrid w:val="0"/>
              </w:rPr>
            </w:pPr>
            <w:r w:rsidRPr="00CA1F0A">
              <w:rPr>
                <w:rFonts w:cs="Arial"/>
              </w:rPr>
              <w:t xml:space="preserve">b) acte normative ce urmează a fi elaborate în implementării noilor </w:t>
            </w:r>
            <w:proofErr w:type="spellStart"/>
            <w:r w:rsidRPr="00CA1F0A">
              <w:rPr>
                <w:rFonts w:cs="Arial"/>
              </w:rPr>
              <w:t>dispoziţii</w:t>
            </w:r>
            <w:proofErr w:type="spellEnd"/>
            <w:r w:rsidRPr="00CA1F0A">
              <w:rPr>
                <w:rFonts w:cs="Arial"/>
              </w:rPr>
              <w:t>.</w:t>
            </w:r>
          </w:p>
        </w:tc>
        <w:tc>
          <w:tcPr>
            <w:tcW w:w="6094" w:type="dxa"/>
            <w:gridSpan w:val="6"/>
          </w:tcPr>
          <w:p w:rsidR="00B95545" w:rsidRPr="00CA1F0A" w:rsidRDefault="00B95545" w:rsidP="00537DEE">
            <w:pPr>
              <w:tabs>
                <w:tab w:val="left" w:pos="3261"/>
              </w:tabs>
              <w:spacing w:after="0"/>
              <w:ind w:left="69"/>
              <w:rPr>
                <w:rFonts w:cs="Arial"/>
                <w:snapToGrid w:val="0"/>
              </w:rPr>
            </w:pPr>
            <w:r w:rsidRPr="00CA1F0A">
              <w:rPr>
                <w:rFonts w:cs="Arial"/>
                <w:snapToGrid w:val="0"/>
              </w:rPr>
              <w:t xml:space="preserve">Nu este cazul. </w:t>
            </w:r>
          </w:p>
        </w:tc>
      </w:tr>
      <w:tr w:rsidR="00B95545" w:rsidRPr="00CA1F0A" w:rsidTr="00096E7B">
        <w:tc>
          <w:tcPr>
            <w:tcW w:w="4289" w:type="dxa"/>
          </w:tcPr>
          <w:p w:rsidR="00B95545" w:rsidRPr="00CA1F0A" w:rsidRDefault="00B95545" w:rsidP="00537DEE">
            <w:pPr>
              <w:tabs>
                <w:tab w:val="left" w:pos="3261"/>
              </w:tabs>
              <w:spacing w:after="0"/>
              <w:ind w:left="69" w:right="34"/>
              <w:rPr>
                <w:rFonts w:cs="Arial"/>
                <w:snapToGrid w:val="0"/>
              </w:rPr>
            </w:pPr>
            <w:r w:rsidRPr="00CA1F0A">
              <w:rPr>
                <w:rFonts w:cs="Arial"/>
                <w:snapToGrid w:val="0"/>
              </w:rPr>
              <w:t>1</w:t>
            </w:r>
            <w:r w:rsidRPr="00CA1F0A">
              <w:rPr>
                <w:rFonts w:cs="Arial"/>
                <w:snapToGrid w:val="0"/>
                <w:vertAlign w:val="superscript"/>
              </w:rPr>
              <w:t>1</w:t>
            </w:r>
            <w:r w:rsidRPr="00CA1F0A">
              <w:rPr>
                <w:rFonts w:cs="Arial"/>
                <w:snapToGrid w:val="0"/>
              </w:rPr>
              <w:t>. Compatibilitatea proiectului de act normativ cu legislația în domeniul achizițiilor publice</w:t>
            </w:r>
          </w:p>
        </w:tc>
        <w:tc>
          <w:tcPr>
            <w:tcW w:w="6094" w:type="dxa"/>
            <w:gridSpan w:val="6"/>
          </w:tcPr>
          <w:p w:rsidR="00B95545" w:rsidRPr="00CA1F0A" w:rsidRDefault="00B95545" w:rsidP="00537DEE">
            <w:pPr>
              <w:tabs>
                <w:tab w:val="left" w:pos="3261"/>
              </w:tabs>
              <w:spacing w:after="0"/>
              <w:ind w:left="69"/>
              <w:rPr>
                <w:rFonts w:cs="Arial"/>
                <w:snapToGrid w:val="0"/>
              </w:rPr>
            </w:pPr>
            <w:r w:rsidRPr="00CA1F0A">
              <w:rPr>
                <w:rFonts w:cs="Arial"/>
                <w:snapToGrid w:val="0"/>
              </w:rPr>
              <w:t>Nu este cazul</w:t>
            </w:r>
          </w:p>
        </w:tc>
      </w:tr>
      <w:tr w:rsidR="00B95545" w:rsidRPr="00CA1F0A" w:rsidTr="00096E7B">
        <w:trPr>
          <w:trHeight w:val="330"/>
        </w:trPr>
        <w:tc>
          <w:tcPr>
            <w:tcW w:w="4289" w:type="dxa"/>
          </w:tcPr>
          <w:p w:rsidR="00B95545" w:rsidRPr="00CA1F0A" w:rsidRDefault="00B95545" w:rsidP="00537DEE">
            <w:pPr>
              <w:tabs>
                <w:tab w:val="left" w:pos="3261"/>
              </w:tabs>
              <w:autoSpaceDE w:val="0"/>
              <w:autoSpaceDN w:val="0"/>
              <w:adjustRightInd w:val="0"/>
              <w:spacing w:after="0"/>
              <w:ind w:left="69" w:right="34"/>
              <w:rPr>
                <w:rFonts w:cs="Arial"/>
                <w:snapToGrid w:val="0"/>
              </w:rPr>
            </w:pPr>
            <w:r w:rsidRPr="00CA1F0A">
              <w:rPr>
                <w:rFonts w:cs="Arial"/>
                <w:snapToGrid w:val="0"/>
              </w:rPr>
              <w:t xml:space="preserve">2. </w:t>
            </w:r>
            <w:r w:rsidRPr="00CA1F0A">
              <w:rPr>
                <w:rFonts w:cs="Arial"/>
                <w:iCs/>
              </w:rPr>
              <w:t xml:space="preserve">Conformitatea proiectului de act normativ cu </w:t>
            </w:r>
            <w:proofErr w:type="spellStart"/>
            <w:r w:rsidRPr="00CA1F0A">
              <w:rPr>
                <w:rFonts w:cs="Arial"/>
                <w:iCs/>
              </w:rPr>
              <w:t>legislaţia</w:t>
            </w:r>
            <w:proofErr w:type="spellEnd"/>
            <w:r w:rsidRPr="00CA1F0A">
              <w:rPr>
                <w:rFonts w:cs="Arial"/>
                <w:iCs/>
              </w:rPr>
              <w:t xml:space="preserve"> comunitară în cazul proiectelor ce transpun prevederi comunitare</w:t>
            </w:r>
          </w:p>
        </w:tc>
        <w:tc>
          <w:tcPr>
            <w:tcW w:w="6094" w:type="dxa"/>
            <w:gridSpan w:val="6"/>
          </w:tcPr>
          <w:p w:rsidR="00B95545" w:rsidRPr="00CA1F0A" w:rsidRDefault="00B95545" w:rsidP="00537DEE">
            <w:pPr>
              <w:tabs>
                <w:tab w:val="left" w:pos="3261"/>
              </w:tabs>
              <w:spacing w:after="0"/>
              <w:ind w:left="69"/>
              <w:rPr>
                <w:rFonts w:cs="Arial"/>
                <w:snapToGrid w:val="0"/>
              </w:rPr>
            </w:pPr>
          </w:p>
        </w:tc>
      </w:tr>
      <w:tr w:rsidR="00B95545" w:rsidRPr="00CA1F0A" w:rsidTr="00096E7B">
        <w:trPr>
          <w:trHeight w:val="328"/>
        </w:trPr>
        <w:tc>
          <w:tcPr>
            <w:tcW w:w="4289" w:type="dxa"/>
          </w:tcPr>
          <w:p w:rsidR="00B95545" w:rsidRPr="00CA1F0A" w:rsidRDefault="00B95545" w:rsidP="00537DEE">
            <w:pPr>
              <w:tabs>
                <w:tab w:val="left" w:pos="3261"/>
              </w:tabs>
              <w:autoSpaceDE w:val="0"/>
              <w:autoSpaceDN w:val="0"/>
              <w:adjustRightInd w:val="0"/>
              <w:spacing w:after="0"/>
              <w:ind w:left="69" w:right="34"/>
              <w:rPr>
                <w:rFonts w:cs="Arial"/>
                <w:snapToGrid w:val="0"/>
              </w:rPr>
            </w:pPr>
            <w:r w:rsidRPr="00CA1F0A">
              <w:rPr>
                <w:rFonts w:cs="Arial"/>
                <w:iCs/>
              </w:rPr>
              <w:t>3. Măsuri normative necesare aplicării directe a actelor  normative comunitare</w:t>
            </w:r>
          </w:p>
        </w:tc>
        <w:tc>
          <w:tcPr>
            <w:tcW w:w="6094" w:type="dxa"/>
            <w:gridSpan w:val="6"/>
          </w:tcPr>
          <w:p w:rsidR="00B95545" w:rsidRPr="00CA1F0A" w:rsidRDefault="00B95545" w:rsidP="00537DEE">
            <w:pPr>
              <w:tabs>
                <w:tab w:val="left" w:pos="3261"/>
              </w:tabs>
              <w:spacing w:after="0"/>
              <w:ind w:left="69"/>
              <w:rPr>
                <w:rFonts w:cs="Arial"/>
                <w:snapToGrid w:val="0"/>
              </w:rPr>
            </w:pPr>
            <w:r w:rsidRPr="00CA1F0A">
              <w:rPr>
                <w:rFonts w:cs="Arial"/>
                <w:snapToGrid w:val="0"/>
              </w:rPr>
              <w:t xml:space="preserve">Nu este cazul. </w:t>
            </w:r>
          </w:p>
        </w:tc>
      </w:tr>
      <w:tr w:rsidR="00B95545" w:rsidRPr="00CA1F0A" w:rsidTr="00096E7B">
        <w:trPr>
          <w:trHeight w:val="328"/>
        </w:trPr>
        <w:tc>
          <w:tcPr>
            <w:tcW w:w="4289" w:type="dxa"/>
          </w:tcPr>
          <w:p w:rsidR="00B95545" w:rsidRPr="00CA1F0A" w:rsidRDefault="00B95545" w:rsidP="00537DEE">
            <w:pPr>
              <w:tabs>
                <w:tab w:val="left" w:pos="3261"/>
              </w:tabs>
              <w:spacing w:after="0"/>
              <w:ind w:left="69"/>
              <w:rPr>
                <w:rFonts w:cs="Arial"/>
                <w:snapToGrid w:val="0"/>
              </w:rPr>
            </w:pPr>
            <w:r w:rsidRPr="00CA1F0A">
              <w:rPr>
                <w:rFonts w:cs="Arial"/>
                <w:snapToGrid w:val="0"/>
              </w:rPr>
              <w:t>4. Hotărâri ale Curții de Justiție a Uniunii Europene</w:t>
            </w:r>
          </w:p>
        </w:tc>
        <w:tc>
          <w:tcPr>
            <w:tcW w:w="6094" w:type="dxa"/>
            <w:gridSpan w:val="6"/>
          </w:tcPr>
          <w:p w:rsidR="00B95545" w:rsidRPr="00CA1F0A" w:rsidRDefault="00B95545" w:rsidP="00537DEE">
            <w:pPr>
              <w:tabs>
                <w:tab w:val="left" w:pos="3261"/>
              </w:tabs>
              <w:spacing w:after="0"/>
              <w:ind w:left="69" w:right="-391"/>
              <w:rPr>
                <w:rFonts w:cs="Arial"/>
              </w:rPr>
            </w:pPr>
            <w:r w:rsidRPr="00CA1F0A">
              <w:rPr>
                <w:rFonts w:cs="Arial"/>
              </w:rPr>
              <w:t xml:space="preserve">Nu este cazul. </w:t>
            </w:r>
          </w:p>
        </w:tc>
      </w:tr>
      <w:tr w:rsidR="00B95545" w:rsidRPr="00CA1F0A" w:rsidTr="00096E7B">
        <w:trPr>
          <w:trHeight w:val="328"/>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t>5. Alte acte normative și/sau documente internaționale din care decurg angajamente</w:t>
            </w:r>
          </w:p>
        </w:tc>
        <w:tc>
          <w:tcPr>
            <w:tcW w:w="6094" w:type="dxa"/>
            <w:gridSpan w:val="6"/>
          </w:tcPr>
          <w:p w:rsidR="00B95545" w:rsidRPr="00CA1F0A" w:rsidRDefault="00B95545" w:rsidP="00537DEE">
            <w:pPr>
              <w:tabs>
                <w:tab w:val="left" w:pos="3261"/>
              </w:tabs>
              <w:spacing w:after="0"/>
              <w:ind w:left="69" w:right="134"/>
              <w:rPr>
                <w:rFonts w:cs="Arial"/>
              </w:rPr>
            </w:pPr>
          </w:p>
        </w:tc>
      </w:tr>
      <w:tr w:rsidR="00B95545" w:rsidRPr="00CA1F0A" w:rsidTr="00096E7B">
        <w:trPr>
          <w:trHeight w:val="328"/>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6. Alte informații. </w:t>
            </w:r>
          </w:p>
        </w:tc>
        <w:tc>
          <w:tcPr>
            <w:tcW w:w="6094" w:type="dxa"/>
            <w:gridSpan w:val="6"/>
          </w:tcPr>
          <w:p w:rsidR="00D1285C" w:rsidRPr="00CA1F0A" w:rsidRDefault="00B95545" w:rsidP="00537DEE">
            <w:pPr>
              <w:tabs>
                <w:tab w:val="left" w:pos="3261"/>
              </w:tabs>
              <w:spacing w:after="0"/>
              <w:ind w:left="69" w:right="134"/>
              <w:rPr>
                <w:rFonts w:cs="Arial"/>
              </w:rPr>
            </w:pPr>
            <w:r w:rsidRPr="00CA1F0A">
              <w:rPr>
                <w:rFonts w:cs="Arial"/>
              </w:rPr>
              <w:t xml:space="preserve">Nu este cazul. </w:t>
            </w:r>
          </w:p>
        </w:tc>
      </w:tr>
      <w:tr w:rsidR="00B95545" w:rsidRPr="00CA1F0A" w:rsidTr="00096E7B">
        <w:trPr>
          <w:trHeight w:val="328"/>
        </w:trPr>
        <w:tc>
          <w:tcPr>
            <w:tcW w:w="10383" w:type="dxa"/>
            <w:gridSpan w:val="7"/>
          </w:tcPr>
          <w:p w:rsidR="00B95545" w:rsidRPr="00CA1F0A" w:rsidRDefault="00270281" w:rsidP="00537DEE">
            <w:pPr>
              <w:tabs>
                <w:tab w:val="left" w:pos="3261"/>
              </w:tabs>
              <w:spacing w:after="0"/>
              <w:ind w:left="69" w:right="134"/>
              <w:rPr>
                <w:rFonts w:cs="Arial"/>
                <w:b/>
                <w:snapToGrid w:val="0"/>
              </w:rPr>
            </w:pPr>
            <w:r w:rsidRPr="00CA1F0A">
              <w:rPr>
                <w:rFonts w:cs="Arial"/>
                <w:b/>
                <w:snapToGrid w:val="0"/>
              </w:rPr>
              <w:t>Secțiunea</w:t>
            </w:r>
            <w:r w:rsidR="00B95545" w:rsidRPr="00CA1F0A">
              <w:rPr>
                <w:rFonts w:cs="Arial"/>
                <w:b/>
                <w:snapToGrid w:val="0"/>
              </w:rPr>
              <w:t xml:space="preserve"> a 6-a – Consultările efectuate în vederea elaborării proiectului de act normativ</w:t>
            </w:r>
          </w:p>
        </w:tc>
      </w:tr>
      <w:tr w:rsidR="00B95545" w:rsidRPr="00CA1F0A" w:rsidTr="00096E7B">
        <w:trPr>
          <w:trHeight w:val="340"/>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rPr>
              <w:t xml:space="preserve">1. </w:t>
            </w:r>
            <w:proofErr w:type="spellStart"/>
            <w:r w:rsidRPr="00CA1F0A">
              <w:rPr>
                <w:rFonts w:cs="Arial"/>
              </w:rPr>
              <w:t>Informaţii</w:t>
            </w:r>
            <w:proofErr w:type="spellEnd"/>
            <w:r w:rsidRPr="00CA1F0A">
              <w:rPr>
                <w:rFonts w:cs="Arial"/>
              </w:rPr>
              <w:t xml:space="preserve"> privind procesul de consultare cu </w:t>
            </w:r>
            <w:r w:rsidR="00270281" w:rsidRPr="00CA1F0A">
              <w:rPr>
                <w:rFonts w:cs="Arial"/>
              </w:rPr>
              <w:t>organizații</w:t>
            </w:r>
            <w:r w:rsidRPr="00CA1F0A">
              <w:rPr>
                <w:rFonts w:cs="Arial"/>
              </w:rPr>
              <w:t xml:space="preserve"> neguvernamentale, institute de  cercetare şi alte organisme     implicate</w:t>
            </w:r>
          </w:p>
        </w:tc>
        <w:tc>
          <w:tcPr>
            <w:tcW w:w="6094" w:type="dxa"/>
            <w:gridSpan w:val="6"/>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Nu este cazul </w:t>
            </w:r>
          </w:p>
        </w:tc>
      </w:tr>
      <w:tr w:rsidR="00B95545" w:rsidRPr="00CA1F0A" w:rsidTr="00096E7B">
        <w:trPr>
          <w:trHeight w:val="338"/>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2. Fundamentarea alegerii </w:t>
            </w:r>
            <w:r w:rsidR="00270281" w:rsidRPr="00CA1F0A">
              <w:rPr>
                <w:rFonts w:cs="Arial"/>
                <w:snapToGrid w:val="0"/>
              </w:rPr>
              <w:t>organizațiilor</w:t>
            </w:r>
            <w:r w:rsidRPr="00CA1F0A">
              <w:rPr>
                <w:rFonts w:cs="Arial"/>
                <w:snapToGrid w:val="0"/>
              </w:rPr>
              <w:t xml:space="preserve"> cu care a avut loc consultarea, precum şi a modului în care activitatea acestor </w:t>
            </w:r>
            <w:r w:rsidR="00270281" w:rsidRPr="00CA1F0A">
              <w:rPr>
                <w:rFonts w:cs="Arial"/>
                <w:snapToGrid w:val="0"/>
              </w:rPr>
              <w:t>organizații</w:t>
            </w:r>
            <w:r w:rsidRPr="00CA1F0A">
              <w:rPr>
                <w:rFonts w:cs="Arial"/>
                <w:snapToGrid w:val="0"/>
              </w:rPr>
              <w:t xml:space="preserve"> este legată de obiectul proiectului de act normativ</w:t>
            </w:r>
          </w:p>
        </w:tc>
        <w:tc>
          <w:tcPr>
            <w:tcW w:w="6094" w:type="dxa"/>
            <w:gridSpan w:val="6"/>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Nu este cazul </w:t>
            </w:r>
          </w:p>
        </w:tc>
      </w:tr>
      <w:tr w:rsidR="00B95545" w:rsidRPr="00CA1F0A" w:rsidTr="00096E7B">
        <w:trPr>
          <w:trHeight w:val="338"/>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lastRenderedPageBreak/>
              <w:t xml:space="preserve">3. Consultările organizate cu </w:t>
            </w:r>
            <w:proofErr w:type="spellStart"/>
            <w:r w:rsidRPr="00CA1F0A">
              <w:rPr>
                <w:rFonts w:cs="Arial"/>
                <w:snapToGrid w:val="0"/>
              </w:rPr>
              <w:t>autorităţile</w:t>
            </w:r>
            <w:proofErr w:type="spellEnd"/>
            <w:r w:rsidRPr="00CA1F0A">
              <w:rPr>
                <w:rFonts w:cs="Arial"/>
                <w:snapToGrid w:val="0"/>
              </w:rPr>
              <w:t xml:space="preserve"> </w:t>
            </w:r>
            <w:proofErr w:type="spellStart"/>
            <w:r w:rsidRPr="00CA1F0A">
              <w:rPr>
                <w:rFonts w:cs="Arial"/>
                <w:snapToGrid w:val="0"/>
              </w:rPr>
              <w:t>administraţiei</w:t>
            </w:r>
            <w:proofErr w:type="spellEnd"/>
            <w:r w:rsidRPr="00CA1F0A">
              <w:rPr>
                <w:rFonts w:cs="Arial"/>
                <w:snapToGrid w:val="0"/>
              </w:rPr>
              <w:t xml:space="preserve"> publice locale, în </w:t>
            </w:r>
            <w:proofErr w:type="spellStart"/>
            <w:r w:rsidRPr="00CA1F0A">
              <w:rPr>
                <w:rFonts w:cs="Arial"/>
                <w:snapToGrid w:val="0"/>
              </w:rPr>
              <w:t>situaţia</w:t>
            </w:r>
            <w:proofErr w:type="spellEnd"/>
            <w:r w:rsidRPr="00CA1F0A">
              <w:rPr>
                <w:rFonts w:cs="Arial"/>
                <w:snapToGrid w:val="0"/>
              </w:rPr>
              <w:t xml:space="preserve"> în care proiectul de act normativ are ca obiect </w:t>
            </w:r>
            <w:proofErr w:type="spellStart"/>
            <w:r w:rsidRPr="00CA1F0A">
              <w:rPr>
                <w:rFonts w:cs="Arial"/>
                <w:snapToGrid w:val="0"/>
              </w:rPr>
              <w:t>activităţi</w:t>
            </w:r>
            <w:proofErr w:type="spellEnd"/>
            <w:r w:rsidRPr="00CA1F0A">
              <w:rPr>
                <w:rFonts w:cs="Arial"/>
                <w:snapToGrid w:val="0"/>
              </w:rPr>
              <w:t xml:space="preserve"> ale acestor </w:t>
            </w:r>
            <w:proofErr w:type="spellStart"/>
            <w:r w:rsidRPr="00CA1F0A">
              <w:rPr>
                <w:rFonts w:cs="Arial"/>
                <w:snapToGrid w:val="0"/>
              </w:rPr>
              <w:t>autorităţi</w:t>
            </w:r>
            <w:proofErr w:type="spellEnd"/>
            <w:r w:rsidRPr="00CA1F0A">
              <w:rPr>
                <w:rFonts w:cs="Arial"/>
                <w:snapToGrid w:val="0"/>
              </w:rPr>
              <w:t xml:space="preserve">, în </w:t>
            </w:r>
            <w:proofErr w:type="spellStart"/>
            <w:r w:rsidRPr="00CA1F0A">
              <w:rPr>
                <w:rFonts w:cs="Arial"/>
                <w:snapToGrid w:val="0"/>
              </w:rPr>
              <w:t>condiţiile</w:t>
            </w:r>
            <w:proofErr w:type="spellEnd"/>
            <w:r w:rsidRPr="00CA1F0A">
              <w:rPr>
                <w:rFonts w:cs="Arial"/>
                <w:snapToGrid w:val="0"/>
              </w:rPr>
              <w:t xml:space="preserve"> Hotărârii Guvernului nr. 521/2005 privind procedura de consultare a structurilor asociative ale </w:t>
            </w:r>
            <w:proofErr w:type="spellStart"/>
            <w:r w:rsidRPr="00CA1F0A">
              <w:rPr>
                <w:rFonts w:cs="Arial"/>
                <w:snapToGrid w:val="0"/>
              </w:rPr>
              <w:t>autorităţilor</w:t>
            </w:r>
            <w:proofErr w:type="spellEnd"/>
            <w:r w:rsidRPr="00CA1F0A">
              <w:rPr>
                <w:rFonts w:cs="Arial"/>
                <w:snapToGrid w:val="0"/>
              </w:rPr>
              <w:t xml:space="preserve"> </w:t>
            </w:r>
            <w:proofErr w:type="spellStart"/>
            <w:r w:rsidRPr="00CA1F0A">
              <w:rPr>
                <w:rFonts w:cs="Arial"/>
                <w:snapToGrid w:val="0"/>
              </w:rPr>
              <w:t>administraţiei</w:t>
            </w:r>
            <w:proofErr w:type="spellEnd"/>
            <w:r w:rsidRPr="00CA1F0A">
              <w:rPr>
                <w:rFonts w:cs="Arial"/>
                <w:snapToGrid w:val="0"/>
              </w:rPr>
              <w:t xml:space="preserve"> publice locale la elaborarea proiectelor de acte normative</w:t>
            </w:r>
          </w:p>
        </w:tc>
        <w:tc>
          <w:tcPr>
            <w:tcW w:w="6094" w:type="dxa"/>
            <w:gridSpan w:val="6"/>
          </w:tcPr>
          <w:p w:rsidR="00B95545" w:rsidRPr="00CA1F0A" w:rsidRDefault="00B95545" w:rsidP="00537DEE">
            <w:pPr>
              <w:tabs>
                <w:tab w:val="left" w:pos="3261"/>
              </w:tabs>
              <w:spacing w:after="0"/>
              <w:ind w:left="69" w:right="134"/>
              <w:rPr>
                <w:rFonts w:cs="Arial"/>
                <w:snapToGrid w:val="0"/>
              </w:rPr>
            </w:pPr>
            <w:r w:rsidRPr="00CA1F0A">
              <w:rPr>
                <w:rFonts w:cs="Arial"/>
                <w:snapToGrid w:val="0"/>
              </w:rPr>
              <w:t>Nu este cazul</w:t>
            </w:r>
          </w:p>
        </w:tc>
      </w:tr>
      <w:tr w:rsidR="00B95545" w:rsidRPr="00CA1F0A" w:rsidTr="00096E7B">
        <w:trPr>
          <w:trHeight w:val="338"/>
        </w:trPr>
        <w:tc>
          <w:tcPr>
            <w:tcW w:w="4289" w:type="dxa"/>
          </w:tcPr>
          <w:p w:rsidR="00B95545" w:rsidRPr="00CA1F0A" w:rsidRDefault="00B95545" w:rsidP="00537DEE">
            <w:pPr>
              <w:tabs>
                <w:tab w:val="left" w:pos="3261"/>
              </w:tabs>
              <w:autoSpaceDE w:val="0"/>
              <w:autoSpaceDN w:val="0"/>
              <w:adjustRightInd w:val="0"/>
              <w:spacing w:after="0"/>
              <w:ind w:left="69" w:right="134"/>
              <w:rPr>
                <w:rFonts w:cs="Arial"/>
                <w:snapToGrid w:val="0"/>
              </w:rPr>
            </w:pPr>
            <w:r w:rsidRPr="00CA1F0A">
              <w:rPr>
                <w:rFonts w:cs="Arial"/>
                <w:snapToGrid w:val="0"/>
              </w:rPr>
              <w:t xml:space="preserve">4. </w:t>
            </w:r>
            <w:r w:rsidRPr="00CA1F0A">
              <w:rPr>
                <w:rFonts w:cs="Arial"/>
              </w:rPr>
              <w:t xml:space="preserve">Consultările </w:t>
            </w:r>
            <w:proofErr w:type="spellStart"/>
            <w:r w:rsidRPr="00CA1F0A">
              <w:rPr>
                <w:rFonts w:cs="Arial"/>
              </w:rPr>
              <w:t>desfăşurate</w:t>
            </w:r>
            <w:proofErr w:type="spellEnd"/>
            <w:r w:rsidRPr="00CA1F0A">
              <w:rPr>
                <w:rFonts w:cs="Arial"/>
              </w:rPr>
              <w:t xml:space="preserve"> în cadrul consiliilor interministeriale, în conformitate cu prevederile    Hotărârii Guvernului nr. 750/2005  privind constituirea consiliilor    interministeriale permanente</w:t>
            </w:r>
          </w:p>
        </w:tc>
        <w:tc>
          <w:tcPr>
            <w:tcW w:w="6094" w:type="dxa"/>
            <w:gridSpan w:val="6"/>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Nu este cazul </w:t>
            </w:r>
          </w:p>
        </w:tc>
      </w:tr>
      <w:tr w:rsidR="00B95545" w:rsidRPr="00CA1F0A" w:rsidTr="00096E7B">
        <w:trPr>
          <w:trHeight w:val="338"/>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5. </w:t>
            </w:r>
            <w:proofErr w:type="spellStart"/>
            <w:r w:rsidRPr="00CA1F0A">
              <w:rPr>
                <w:rFonts w:cs="Arial"/>
                <w:snapToGrid w:val="0"/>
              </w:rPr>
              <w:t>Informaţii</w:t>
            </w:r>
            <w:proofErr w:type="spellEnd"/>
            <w:r w:rsidRPr="00CA1F0A">
              <w:rPr>
                <w:rFonts w:cs="Arial"/>
                <w:snapToGrid w:val="0"/>
              </w:rPr>
              <w:t xml:space="preserve"> privind avizarea de către:</w:t>
            </w:r>
          </w:p>
          <w:p w:rsidR="00B95545" w:rsidRPr="00CA1F0A" w:rsidRDefault="00B95545" w:rsidP="00537DEE">
            <w:pPr>
              <w:tabs>
                <w:tab w:val="left" w:pos="3261"/>
              </w:tabs>
              <w:spacing w:after="0"/>
              <w:ind w:left="69" w:right="134"/>
              <w:rPr>
                <w:rFonts w:cs="Arial"/>
                <w:snapToGrid w:val="0"/>
              </w:rPr>
            </w:pPr>
            <w:r w:rsidRPr="00CA1F0A">
              <w:rPr>
                <w:rFonts w:cs="Arial"/>
                <w:snapToGrid w:val="0"/>
              </w:rPr>
              <w:t>a) Consiliul Legislativ</w:t>
            </w:r>
          </w:p>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b) Consiliul Suprem de Apărare a </w:t>
            </w:r>
            <w:proofErr w:type="spellStart"/>
            <w:r w:rsidRPr="00CA1F0A">
              <w:rPr>
                <w:rFonts w:cs="Arial"/>
                <w:snapToGrid w:val="0"/>
              </w:rPr>
              <w:t>Ţării</w:t>
            </w:r>
            <w:proofErr w:type="spellEnd"/>
          </w:p>
          <w:p w:rsidR="00B95545" w:rsidRPr="00CA1F0A" w:rsidRDefault="00B95545" w:rsidP="00537DEE">
            <w:pPr>
              <w:tabs>
                <w:tab w:val="left" w:pos="3261"/>
              </w:tabs>
              <w:spacing w:after="0"/>
              <w:ind w:left="69" w:right="134"/>
              <w:rPr>
                <w:rFonts w:cs="Arial"/>
                <w:snapToGrid w:val="0"/>
              </w:rPr>
            </w:pPr>
            <w:r w:rsidRPr="00CA1F0A">
              <w:rPr>
                <w:rFonts w:cs="Arial"/>
                <w:snapToGrid w:val="0"/>
              </w:rPr>
              <w:t>c) Consiliul Economic şi Social</w:t>
            </w:r>
          </w:p>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d) Consiliul </w:t>
            </w:r>
            <w:proofErr w:type="spellStart"/>
            <w:r w:rsidRPr="00CA1F0A">
              <w:rPr>
                <w:rFonts w:cs="Arial"/>
                <w:snapToGrid w:val="0"/>
              </w:rPr>
              <w:t>Concurenţei</w:t>
            </w:r>
            <w:proofErr w:type="spellEnd"/>
          </w:p>
          <w:p w:rsidR="00B95545" w:rsidRPr="00CA1F0A" w:rsidRDefault="00B95545" w:rsidP="00537DEE">
            <w:pPr>
              <w:tabs>
                <w:tab w:val="left" w:pos="3261"/>
              </w:tabs>
              <w:spacing w:after="0"/>
              <w:ind w:left="69" w:right="134"/>
              <w:rPr>
                <w:rFonts w:cs="Arial"/>
                <w:snapToGrid w:val="0"/>
              </w:rPr>
            </w:pPr>
            <w:r w:rsidRPr="00CA1F0A">
              <w:rPr>
                <w:rFonts w:cs="Arial"/>
                <w:snapToGrid w:val="0"/>
              </w:rPr>
              <w:t>e) Curtea de Conturi.</w:t>
            </w:r>
          </w:p>
        </w:tc>
        <w:tc>
          <w:tcPr>
            <w:tcW w:w="6094" w:type="dxa"/>
            <w:gridSpan w:val="6"/>
          </w:tcPr>
          <w:p w:rsidR="00672590" w:rsidRPr="00CA1F0A" w:rsidRDefault="00672590" w:rsidP="00537DEE">
            <w:pPr>
              <w:tabs>
                <w:tab w:val="left" w:pos="3261"/>
              </w:tabs>
              <w:spacing w:after="0"/>
              <w:ind w:left="69" w:right="134"/>
              <w:rPr>
                <w:rFonts w:cs="Arial"/>
                <w:snapToGrid w:val="0"/>
              </w:rPr>
            </w:pPr>
            <w:r w:rsidRPr="00CA1F0A">
              <w:rPr>
                <w:rFonts w:cs="Arial"/>
                <w:snapToGrid w:val="0"/>
              </w:rPr>
              <w:t xml:space="preserve">Proiectul este supus avizului </w:t>
            </w:r>
            <w:r w:rsidR="004264A4" w:rsidRPr="00CA1F0A">
              <w:rPr>
                <w:rFonts w:cs="Arial"/>
                <w:snapToGrid w:val="0"/>
              </w:rPr>
              <w:t xml:space="preserve">Consiliului Superior al Magistraturii şi </w:t>
            </w:r>
            <w:r w:rsidRPr="00CA1F0A">
              <w:rPr>
                <w:rFonts w:cs="Arial"/>
                <w:snapToGrid w:val="0"/>
              </w:rPr>
              <w:t xml:space="preserve">Consiliului Legislativ. </w:t>
            </w:r>
          </w:p>
        </w:tc>
      </w:tr>
      <w:tr w:rsidR="00B95545" w:rsidRPr="00CA1F0A" w:rsidTr="00096E7B">
        <w:trPr>
          <w:trHeight w:val="328"/>
        </w:trPr>
        <w:tc>
          <w:tcPr>
            <w:tcW w:w="10383" w:type="dxa"/>
            <w:gridSpan w:val="7"/>
          </w:tcPr>
          <w:p w:rsidR="00B95545" w:rsidRPr="00CA1F0A" w:rsidRDefault="00270281" w:rsidP="00537DEE">
            <w:pPr>
              <w:tabs>
                <w:tab w:val="left" w:pos="3261"/>
              </w:tabs>
              <w:spacing w:after="0"/>
              <w:ind w:left="69" w:right="134"/>
              <w:rPr>
                <w:rFonts w:cs="Arial"/>
                <w:b/>
                <w:snapToGrid w:val="0"/>
              </w:rPr>
            </w:pPr>
            <w:r w:rsidRPr="00CA1F0A">
              <w:rPr>
                <w:rFonts w:cs="Arial"/>
                <w:b/>
                <w:snapToGrid w:val="0"/>
              </w:rPr>
              <w:t>Secțiunea</w:t>
            </w:r>
            <w:r w:rsidR="00B95545" w:rsidRPr="00CA1F0A">
              <w:rPr>
                <w:rFonts w:cs="Arial"/>
                <w:b/>
                <w:snapToGrid w:val="0"/>
              </w:rPr>
              <w:t xml:space="preserve"> a 7-a – </w:t>
            </w:r>
            <w:proofErr w:type="spellStart"/>
            <w:r w:rsidR="00B95545" w:rsidRPr="00CA1F0A">
              <w:rPr>
                <w:rFonts w:cs="Arial"/>
                <w:b/>
                <w:snapToGrid w:val="0"/>
              </w:rPr>
              <w:t>Activităţi</w:t>
            </w:r>
            <w:proofErr w:type="spellEnd"/>
            <w:r w:rsidR="00B95545" w:rsidRPr="00CA1F0A">
              <w:rPr>
                <w:rFonts w:cs="Arial"/>
                <w:b/>
                <w:snapToGrid w:val="0"/>
              </w:rPr>
              <w:t xml:space="preserve"> de informare publică privind elaborarea şi implementarea proiectului de act normativ</w:t>
            </w:r>
          </w:p>
        </w:tc>
      </w:tr>
      <w:tr w:rsidR="00B95545" w:rsidRPr="00CA1F0A" w:rsidTr="00096E7B">
        <w:trPr>
          <w:trHeight w:val="338"/>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1. Informarea </w:t>
            </w:r>
            <w:proofErr w:type="spellStart"/>
            <w:r w:rsidRPr="00CA1F0A">
              <w:rPr>
                <w:rFonts w:cs="Arial"/>
                <w:snapToGrid w:val="0"/>
              </w:rPr>
              <w:t>societăţii</w:t>
            </w:r>
            <w:proofErr w:type="spellEnd"/>
            <w:r w:rsidRPr="00CA1F0A">
              <w:rPr>
                <w:rFonts w:cs="Arial"/>
                <w:snapToGrid w:val="0"/>
              </w:rPr>
              <w:t xml:space="preserve"> civile cu privire la necesitatea elaborării actului normativ</w:t>
            </w:r>
          </w:p>
        </w:tc>
        <w:tc>
          <w:tcPr>
            <w:tcW w:w="6094" w:type="dxa"/>
            <w:gridSpan w:val="6"/>
          </w:tcPr>
          <w:p w:rsidR="00B95545" w:rsidRDefault="00D27121" w:rsidP="00537DEE">
            <w:pPr>
              <w:tabs>
                <w:tab w:val="left" w:pos="3261"/>
              </w:tabs>
              <w:autoSpaceDE w:val="0"/>
              <w:autoSpaceDN w:val="0"/>
              <w:adjustRightInd w:val="0"/>
              <w:spacing w:after="0"/>
              <w:ind w:left="69" w:right="134"/>
            </w:pPr>
            <w:r w:rsidRPr="005B20DD">
              <w:t xml:space="preserve">Proiectul de act normativ a fost elaborat cu respectarea prevederilor Legii nr. 52/2003 privind transparența decizională în administrația publică, republicată, </w:t>
            </w:r>
            <w:r>
              <w:t xml:space="preserve">fiind </w:t>
            </w:r>
            <w:r w:rsidRPr="005B20DD">
              <w:t>publicat pe pagina de internet a Ministerului Justiției (</w:t>
            </w:r>
            <w:hyperlink r:id="rId9" w:history="1">
              <w:r w:rsidRPr="005B20DD">
                <w:rPr>
                  <w:rStyle w:val="Hyperlink"/>
                  <w:color w:val="auto"/>
                </w:rPr>
                <w:t>www.just.ro</w:t>
              </w:r>
            </w:hyperlink>
            <w:r w:rsidRPr="005B20DD">
              <w:t>) spre dezbatere publică</w:t>
            </w:r>
            <w:r w:rsidR="00D84478">
              <w:t xml:space="preserve"> la data de 21 ianuarie 2022.</w:t>
            </w:r>
          </w:p>
          <w:p w:rsidR="00B2085C" w:rsidRPr="00CA1F0A" w:rsidRDefault="00B2085C" w:rsidP="00537DEE">
            <w:pPr>
              <w:tabs>
                <w:tab w:val="left" w:pos="3261"/>
              </w:tabs>
              <w:autoSpaceDE w:val="0"/>
              <w:autoSpaceDN w:val="0"/>
              <w:adjustRightInd w:val="0"/>
              <w:spacing w:after="0"/>
              <w:ind w:left="69" w:right="134"/>
              <w:rPr>
                <w:rFonts w:cs="Arial"/>
              </w:rPr>
            </w:pPr>
          </w:p>
        </w:tc>
      </w:tr>
      <w:tr w:rsidR="00B95545" w:rsidRPr="00CA1F0A" w:rsidTr="00096E7B">
        <w:trPr>
          <w:trHeight w:val="336"/>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2. Informarea </w:t>
            </w:r>
            <w:proofErr w:type="spellStart"/>
            <w:r w:rsidRPr="00CA1F0A">
              <w:rPr>
                <w:rFonts w:cs="Arial"/>
                <w:snapToGrid w:val="0"/>
              </w:rPr>
              <w:t>societăţii</w:t>
            </w:r>
            <w:proofErr w:type="spellEnd"/>
            <w:r w:rsidRPr="00CA1F0A">
              <w:rPr>
                <w:rFonts w:cs="Arial"/>
                <w:snapToGrid w:val="0"/>
              </w:rPr>
              <w:t xml:space="preserve"> civile cu privire la eventualul impact asupra mediului în urma implementării proiectului de act normativ, precum </w:t>
            </w:r>
            <w:proofErr w:type="spellStart"/>
            <w:r w:rsidRPr="00CA1F0A">
              <w:rPr>
                <w:rFonts w:cs="Arial"/>
                <w:snapToGrid w:val="0"/>
              </w:rPr>
              <w:t>şi</w:t>
            </w:r>
            <w:proofErr w:type="spellEnd"/>
            <w:r w:rsidRPr="00CA1F0A">
              <w:rPr>
                <w:rFonts w:cs="Arial"/>
                <w:snapToGrid w:val="0"/>
              </w:rPr>
              <w:t xml:space="preserve"> efectele asupra </w:t>
            </w:r>
            <w:proofErr w:type="spellStart"/>
            <w:r w:rsidRPr="00CA1F0A">
              <w:rPr>
                <w:rFonts w:cs="Arial"/>
                <w:snapToGrid w:val="0"/>
              </w:rPr>
              <w:t>sănătăţii</w:t>
            </w:r>
            <w:proofErr w:type="spellEnd"/>
            <w:r w:rsidRPr="00CA1F0A">
              <w:rPr>
                <w:rFonts w:cs="Arial"/>
                <w:snapToGrid w:val="0"/>
              </w:rPr>
              <w:t xml:space="preserve"> </w:t>
            </w:r>
            <w:proofErr w:type="spellStart"/>
            <w:r w:rsidRPr="00CA1F0A">
              <w:rPr>
                <w:rFonts w:cs="Arial"/>
                <w:snapToGrid w:val="0"/>
              </w:rPr>
              <w:t>şi</w:t>
            </w:r>
            <w:proofErr w:type="spellEnd"/>
            <w:r w:rsidRPr="00CA1F0A">
              <w:rPr>
                <w:rFonts w:cs="Arial"/>
                <w:snapToGrid w:val="0"/>
              </w:rPr>
              <w:t xml:space="preserve"> </w:t>
            </w:r>
            <w:proofErr w:type="spellStart"/>
            <w:r w:rsidRPr="00CA1F0A">
              <w:rPr>
                <w:rFonts w:cs="Arial"/>
                <w:snapToGrid w:val="0"/>
              </w:rPr>
              <w:t>securităţii</w:t>
            </w:r>
            <w:proofErr w:type="spellEnd"/>
            <w:r w:rsidRPr="00CA1F0A">
              <w:rPr>
                <w:rFonts w:cs="Arial"/>
                <w:snapToGrid w:val="0"/>
              </w:rPr>
              <w:t xml:space="preserve"> </w:t>
            </w:r>
            <w:proofErr w:type="spellStart"/>
            <w:r w:rsidRPr="00CA1F0A">
              <w:rPr>
                <w:rFonts w:cs="Arial"/>
                <w:snapToGrid w:val="0"/>
              </w:rPr>
              <w:t>cetăţenilor</w:t>
            </w:r>
            <w:proofErr w:type="spellEnd"/>
            <w:r w:rsidRPr="00CA1F0A">
              <w:rPr>
                <w:rFonts w:cs="Arial"/>
                <w:snapToGrid w:val="0"/>
              </w:rPr>
              <w:t xml:space="preserve"> sau </w:t>
            </w:r>
            <w:r w:rsidR="00270281" w:rsidRPr="00CA1F0A">
              <w:rPr>
                <w:rFonts w:cs="Arial"/>
                <w:snapToGrid w:val="0"/>
              </w:rPr>
              <w:t>diversității</w:t>
            </w:r>
            <w:r w:rsidRPr="00CA1F0A">
              <w:rPr>
                <w:rFonts w:cs="Arial"/>
                <w:snapToGrid w:val="0"/>
              </w:rPr>
              <w:t xml:space="preserve"> biologice</w:t>
            </w:r>
          </w:p>
        </w:tc>
        <w:tc>
          <w:tcPr>
            <w:tcW w:w="6094" w:type="dxa"/>
            <w:gridSpan w:val="6"/>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Nu este cazul </w:t>
            </w:r>
          </w:p>
        </w:tc>
      </w:tr>
      <w:tr w:rsidR="00B95545" w:rsidRPr="00CA1F0A" w:rsidTr="00096E7B">
        <w:trPr>
          <w:trHeight w:val="336"/>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t>3. Alte informații</w:t>
            </w:r>
          </w:p>
        </w:tc>
        <w:tc>
          <w:tcPr>
            <w:tcW w:w="6094" w:type="dxa"/>
            <w:gridSpan w:val="6"/>
          </w:tcPr>
          <w:p w:rsidR="00B95545" w:rsidRPr="00CA1F0A" w:rsidRDefault="00B95545" w:rsidP="00537DEE">
            <w:pPr>
              <w:tabs>
                <w:tab w:val="left" w:pos="3261"/>
              </w:tabs>
              <w:spacing w:after="0"/>
              <w:ind w:left="69" w:right="134"/>
              <w:rPr>
                <w:rFonts w:cs="Arial"/>
                <w:snapToGrid w:val="0"/>
              </w:rPr>
            </w:pPr>
            <w:r w:rsidRPr="00CA1F0A">
              <w:rPr>
                <w:rFonts w:cs="Arial"/>
                <w:snapToGrid w:val="0"/>
              </w:rPr>
              <w:t>Nu este cazul</w:t>
            </w:r>
          </w:p>
        </w:tc>
      </w:tr>
      <w:tr w:rsidR="00B95545" w:rsidRPr="00CA1F0A" w:rsidTr="00096E7B">
        <w:trPr>
          <w:trHeight w:val="336"/>
        </w:trPr>
        <w:tc>
          <w:tcPr>
            <w:tcW w:w="10383" w:type="dxa"/>
            <w:gridSpan w:val="7"/>
          </w:tcPr>
          <w:p w:rsidR="00B95545" w:rsidRPr="00CA1F0A" w:rsidRDefault="00270281" w:rsidP="00537DEE">
            <w:pPr>
              <w:tabs>
                <w:tab w:val="left" w:pos="3261"/>
              </w:tabs>
              <w:spacing w:after="0"/>
              <w:ind w:left="69" w:right="134"/>
              <w:rPr>
                <w:rFonts w:cs="Arial"/>
                <w:b/>
                <w:snapToGrid w:val="0"/>
              </w:rPr>
            </w:pPr>
            <w:r w:rsidRPr="00CA1F0A">
              <w:rPr>
                <w:rFonts w:cs="Arial"/>
                <w:b/>
                <w:snapToGrid w:val="0"/>
              </w:rPr>
              <w:t>Secțiunea</w:t>
            </w:r>
            <w:r w:rsidR="00B95545" w:rsidRPr="00CA1F0A">
              <w:rPr>
                <w:rFonts w:cs="Arial"/>
                <w:b/>
                <w:snapToGrid w:val="0"/>
              </w:rPr>
              <w:t xml:space="preserve"> a 8-a - Măsuri de implementare</w:t>
            </w:r>
          </w:p>
        </w:tc>
      </w:tr>
      <w:tr w:rsidR="00B95545" w:rsidRPr="00CA1F0A" w:rsidTr="00096E7B">
        <w:trPr>
          <w:trHeight w:val="336"/>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1. Măsurile de punere în aplicare a proiectului de act normativ de către </w:t>
            </w:r>
            <w:proofErr w:type="spellStart"/>
            <w:r w:rsidRPr="00CA1F0A">
              <w:rPr>
                <w:rFonts w:cs="Arial"/>
                <w:snapToGrid w:val="0"/>
              </w:rPr>
              <w:t>autorităţile</w:t>
            </w:r>
            <w:proofErr w:type="spellEnd"/>
            <w:r w:rsidRPr="00CA1F0A">
              <w:rPr>
                <w:rFonts w:cs="Arial"/>
                <w:snapToGrid w:val="0"/>
              </w:rPr>
              <w:t xml:space="preserve"> </w:t>
            </w:r>
            <w:proofErr w:type="spellStart"/>
            <w:r w:rsidRPr="00CA1F0A">
              <w:rPr>
                <w:rFonts w:cs="Arial"/>
                <w:snapToGrid w:val="0"/>
              </w:rPr>
              <w:t>administraţiei</w:t>
            </w:r>
            <w:proofErr w:type="spellEnd"/>
            <w:r w:rsidRPr="00CA1F0A">
              <w:rPr>
                <w:rFonts w:cs="Arial"/>
                <w:snapToGrid w:val="0"/>
              </w:rPr>
              <w:t xml:space="preserve"> publice centrale </w:t>
            </w:r>
            <w:proofErr w:type="spellStart"/>
            <w:r w:rsidRPr="00CA1F0A">
              <w:rPr>
                <w:rFonts w:cs="Arial"/>
                <w:snapToGrid w:val="0"/>
              </w:rPr>
              <w:t>şi</w:t>
            </w:r>
            <w:proofErr w:type="spellEnd"/>
            <w:r w:rsidRPr="00CA1F0A">
              <w:rPr>
                <w:rFonts w:cs="Arial"/>
                <w:snapToGrid w:val="0"/>
              </w:rPr>
              <w:t xml:space="preserve">/sau locale – </w:t>
            </w:r>
            <w:proofErr w:type="spellStart"/>
            <w:r w:rsidRPr="00CA1F0A">
              <w:rPr>
                <w:rFonts w:cs="Arial"/>
                <w:snapToGrid w:val="0"/>
              </w:rPr>
              <w:t>înfiinţarea</w:t>
            </w:r>
            <w:proofErr w:type="spellEnd"/>
            <w:r w:rsidRPr="00CA1F0A">
              <w:rPr>
                <w:rFonts w:cs="Arial"/>
                <w:snapToGrid w:val="0"/>
              </w:rPr>
              <w:t xml:space="preserve"> unor noi organisme sau extinderea </w:t>
            </w:r>
            <w:proofErr w:type="spellStart"/>
            <w:r w:rsidRPr="00CA1F0A">
              <w:rPr>
                <w:rFonts w:cs="Arial"/>
                <w:snapToGrid w:val="0"/>
              </w:rPr>
              <w:t>competenţelor</w:t>
            </w:r>
            <w:proofErr w:type="spellEnd"/>
            <w:r w:rsidRPr="00CA1F0A">
              <w:rPr>
                <w:rFonts w:cs="Arial"/>
                <w:snapToGrid w:val="0"/>
              </w:rPr>
              <w:t xml:space="preserve"> </w:t>
            </w:r>
            <w:proofErr w:type="spellStart"/>
            <w:r w:rsidRPr="00CA1F0A">
              <w:rPr>
                <w:rFonts w:cs="Arial"/>
                <w:snapToGrid w:val="0"/>
              </w:rPr>
              <w:t>instituţiilor</w:t>
            </w:r>
            <w:proofErr w:type="spellEnd"/>
            <w:r w:rsidRPr="00CA1F0A">
              <w:rPr>
                <w:rFonts w:cs="Arial"/>
                <w:snapToGrid w:val="0"/>
              </w:rPr>
              <w:t xml:space="preserve"> existente</w:t>
            </w:r>
          </w:p>
        </w:tc>
        <w:tc>
          <w:tcPr>
            <w:tcW w:w="6094" w:type="dxa"/>
            <w:gridSpan w:val="6"/>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Nu este cazul </w:t>
            </w:r>
          </w:p>
        </w:tc>
      </w:tr>
      <w:tr w:rsidR="00B95545" w:rsidRPr="00CA1F0A" w:rsidTr="00096E7B">
        <w:trPr>
          <w:trHeight w:val="336"/>
        </w:trPr>
        <w:tc>
          <w:tcPr>
            <w:tcW w:w="4289" w:type="dxa"/>
          </w:tcPr>
          <w:p w:rsidR="00B95545" w:rsidRPr="00CA1F0A" w:rsidRDefault="00B95545" w:rsidP="00537DEE">
            <w:pPr>
              <w:tabs>
                <w:tab w:val="left" w:pos="3261"/>
              </w:tabs>
              <w:spacing w:after="0"/>
              <w:ind w:left="69" w:right="134"/>
              <w:rPr>
                <w:rFonts w:cs="Arial"/>
                <w:snapToGrid w:val="0"/>
              </w:rPr>
            </w:pPr>
            <w:r w:rsidRPr="00CA1F0A">
              <w:rPr>
                <w:rFonts w:cs="Arial"/>
                <w:snapToGrid w:val="0"/>
              </w:rPr>
              <w:t xml:space="preserve">2. Alte </w:t>
            </w:r>
            <w:proofErr w:type="spellStart"/>
            <w:r w:rsidRPr="00CA1F0A">
              <w:rPr>
                <w:rFonts w:cs="Arial"/>
                <w:snapToGrid w:val="0"/>
              </w:rPr>
              <w:t>informaţii</w:t>
            </w:r>
            <w:proofErr w:type="spellEnd"/>
          </w:p>
        </w:tc>
        <w:tc>
          <w:tcPr>
            <w:tcW w:w="6094" w:type="dxa"/>
            <w:gridSpan w:val="6"/>
          </w:tcPr>
          <w:p w:rsidR="00B95545" w:rsidRPr="00CA1F0A" w:rsidRDefault="00B95545" w:rsidP="00537DEE">
            <w:pPr>
              <w:tabs>
                <w:tab w:val="left" w:pos="3261"/>
              </w:tabs>
              <w:spacing w:after="0"/>
              <w:ind w:left="69" w:right="134"/>
              <w:rPr>
                <w:rFonts w:cs="Arial"/>
                <w:snapToGrid w:val="0"/>
              </w:rPr>
            </w:pPr>
            <w:r w:rsidRPr="00CA1F0A">
              <w:rPr>
                <w:rFonts w:cs="Arial"/>
                <w:snapToGrid w:val="0"/>
              </w:rPr>
              <w:t>Nu au fost identificate</w:t>
            </w:r>
          </w:p>
        </w:tc>
      </w:tr>
    </w:tbl>
    <w:p w:rsidR="00F87A0C" w:rsidRPr="00CA1F0A" w:rsidRDefault="00F87A0C" w:rsidP="00537DEE">
      <w:pPr>
        <w:tabs>
          <w:tab w:val="left" w:pos="3261"/>
        </w:tabs>
        <w:spacing w:after="0"/>
        <w:ind w:left="-1134" w:right="134"/>
        <w:rPr>
          <w:rFonts w:cs="Arial"/>
          <w:b/>
          <w:snapToGrid w:val="0"/>
        </w:rPr>
      </w:pPr>
    </w:p>
    <w:p w:rsidR="00766368" w:rsidRPr="00CA1F0A" w:rsidRDefault="004175F0" w:rsidP="00537DEE">
      <w:pPr>
        <w:tabs>
          <w:tab w:val="left" w:pos="3261"/>
        </w:tabs>
        <w:spacing w:after="0"/>
        <w:ind w:left="-1134"/>
      </w:pPr>
      <w:r w:rsidRPr="00CA1F0A">
        <w:rPr>
          <w:rFonts w:cs="Arial"/>
          <w:snapToGrid w:val="0"/>
        </w:rPr>
        <w:lastRenderedPageBreak/>
        <w:t xml:space="preserve">Faţă de cele prezentate, a fost elaborat proiectul </w:t>
      </w:r>
      <w:r w:rsidR="002D31A9" w:rsidRPr="00CA1F0A">
        <w:rPr>
          <w:rFonts w:cs="Arial"/>
          <w:snapToGrid w:val="0"/>
        </w:rPr>
        <w:t xml:space="preserve">de </w:t>
      </w:r>
      <w:r w:rsidR="00F87A0C" w:rsidRPr="00CA1F0A">
        <w:t xml:space="preserve">Lege </w:t>
      </w:r>
      <w:r w:rsidR="00A94B10" w:rsidRPr="00CA1F0A">
        <w:t xml:space="preserve">privind desființarea </w:t>
      </w:r>
      <w:r w:rsidR="003641CA" w:rsidRPr="00CA1F0A">
        <w:t>S</w:t>
      </w:r>
      <w:r w:rsidR="00A94B10" w:rsidRPr="00CA1F0A">
        <w:t xml:space="preserve">ecției pentru </w:t>
      </w:r>
      <w:r w:rsidR="00A22AF2" w:rsidRPr="00CA1F0A">
        <w:t>i</w:t>
      </w:r>
      <w:r w:rsidR="00A94B10" w:rsidRPr="00CA1F0A">
        <w:t xml:space="preserve">nvestigarea </w:t>
      </w:r>
      <w:r w:rsidR="00A22AF2" w:rsidRPr="00CA1F0A">
        <w:t>i</w:t>
      </w:r>
      <w:r w:rsidR="00A94B10" w:rsidRPr="00CA1F0A">
        <w:t xml:space="preserve">nfracțiunilor din </w:t>
      </w:r>
      <w:r w:rsidR="00A22AF2" w:rsidRPr="00CA1F0A">
        <w:t>j</w:t>
      </w:r>
      <w:r w:rsidR="00A94B10" w:rsidRPr="00CA1F0A">
        <w:t>ustiție</w:t>
      </w:r>
      <w:r w:rsidR="00C82977" w:rsidRPr="00CA1F0A">
        <w:t xml:space="preserve"> </w:t>
      </w:r>
      <w:r w:rsidR="00F87A0C" w:rsidRPr="00CA1F0A">
        <w:t xml:space="preserve">pe care, dacă sunteți de acord, vă rugăm să îl aprobați. </w:t>
      </w:r>
    </w:p>
    <w:p w:rsidR="00766368" w:rsidRPr="00CA1F0A" w:rsidRDefault="00766368" w:rsidP="00537DEE">
      <w:pPr>
        <w:tabs>
          <w:tab w:val="left" w:pos="3261"/>
        </w:tabs>
        <w:spacing w:after="0"/>
        <w:ind w:left="-1134"/>
        <w:rPr>
          <w:b/>
        </w:rPr>
      </w:pPr>
    </w:p>
    <w:p w:rsidR="00766368" w:rsidRPr="00CA1F0A" w:rsidRDefault="00766368" w:rsidP="00537DEE">
      <w:pPr>
        <w:tabs>
          <w:tab w:val="left" w:pos="3261"/>
        </w:tabs>
        <w:spacing w:after="0"/>
        <w:ind w:left="-1134"/>
        <w:rPr>
          <w:b/>
        </w:rPr>
      </w:pPr>
    </w:p>
    <w:p w:rsidR="00766368" w:rsidRDefault="007A11F0" w:rsidP="00537DEE">
      <w:pPr>
        <w:tabs>
          <w:tab w:val="left" w:pos="3261"/>
        </w:tabs>
        <w:spacing w:after="0"/>
        <w:ind w:left="-1134"/>
        <w:jc w:val="center"/>
        <w:rPr>
          <w:b/>
        </w:rPr>
      </w:pPr>
      <w:r w:rsidRPr="00CA1F0A">
        <w:rPr>
          <w:b/>
        </w:rPr>
        <w:t xml:space="preserve">Marian </w:t>
      </w:r>
      <w:r w:rsidR="00C45DF6">
        <w:rPr>
          <w:b/>
        </w:rPr>
        <w:t xml:space="preserve">- </w:t>
      </w:r>
      <w:r w:rsidR="004264A4" w:rsidRPr="00CA1F0A">
        <w:rPr>
          <w:b/>
        </w:rPr>
        <w:t>Cătălin PREDOIU</w:t>
      </w:r>
    </w:p>
    <w:p w:rsidR="004233DD" w:rsidRDefault="004233DD" w:rsidP="00537DEE">
      <w:pPr>
        <w:tabs>
          <w:tab w:val="left" w:pos="3261"/>
        </w:tabs>
        <w:spacing w:after="0"/>
        <w:ind w:left="-1134"/>
        <w:jc w:val="center"/>
        <w:rPr>
          <w:b/>
        </w:rPr>
      </w:pPr>
    </w:p>
    <w:p w:rsidR="004233DD" w:rsidRPr="00CA1F0A" w:rsidRDefault="004233DD" w:rsidP="00537DEE">
      <w:pPr>
        <w:tabs>
          <w:tab w:val="left" w:pos="3261"/>
        </w:tabs>
        <w:spacing w:after="0"/>
        <w:ind w:left="-1134"/>
        <w:jc w:val="center"/>
        <w:rPr>
          <w:b/>
        </w:rPr>
      </w:pPr>
    </w:p>
    <w:p w:rsidR="00766368" w:rsidRPr="00CA1F0A" w:rsidRDefault="00766368" w:rsidP="00537DEE">
      <w:pPr>
        <w:tabs>
          <w:tab w:val="left" w:pos="3261"/>
        </w:tabs>
        <w:spacing w:after="0"/>
        <w:ind w:left="-1134"/>
        <w:jc w:val="center"/>
        <w:rPr>
          <w:b/>
        </w:rPr>
      </w:pPr>
      <w:r w:rsidRPr="00CA1F0A">
        <w:rPr>
          <w:b/>
        </w:rPr>
        <w:t>Ministrul Justiţiei</w:t>
      </w:r>
    </w:p>
    <w:p w:rsidR="00EB5296" w:rsidRPr="00CA1F0A" w:rsidRDefault="00EB5296" w:rsidP="00537DEE">
      <w:pPr>
        <w:tabs>
          <w:tab w:val="left" w:pos="3261"/>
        </w:tabs>
        <w:spacing w:after="0"/>
        <w:ind w:left="-1134"/>
        <w:jc w:val="center"/>
      </w:pPr>
    </w:p>
    <w:sectPr w:rsidR="00EB5296" w:rsidRPr="00CA1F0A" w:rsidSect="00F87A0C">
      <w:headerReference w:type="default" r:id="rId10"/>
      <w:footerReference w:type="default" r:id="rId11"/>
      <w:headerReference w:type="first" r:id="rId12"/>
      <w:footerReference w:type="first" r:id="rId13"/>
      <w:pgSz w:w="11900" w:h="16840" w:code="9"/>
      <w:pgMar w:top="851" w:right="567" w:bottom="1135" w:left="2127"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6BB" w:rsidRDefault="001966BB" w:rsidP="00CD5B3B">
      <w:r>
        <w:separator/>
      </w:r>
    </w:p>
  </w:endnote>
  <w:endnote w:type="continuationSeparator" w:id="0">
    <w:p w:rsidR="001966BB" w:rsidRDefault="001966B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41969"/>
      <w:docPartObj>
        <w:docPartGallery w:val="Page Numbers (Bottom of Page)"/>
        <w:docPartUnique/>
      </w:docPartObj>
    </w:sdtPr>
    <w:sdtEndPr>
      <w:rPr>
        <w:noProof/>
      </w:rPr>
    </w:sdtEndPr>
    <w:sdtContent>
      <w:p w:rsidR="000C0179" w:rsidRDefault="000C0179">
        <w:pPr>
          <w:pStyle w:val="Footer"/>
          <w:jc w:val="right"/>
        </w:pPr>
        <w:r>
          <w:fldChar w:fldCharType="begin"/>
        </w:r>
        <w:r>
          <w:instrText xml:space="preserve"> PAGE   \* MERGEFORMAT </w:instrText>
        </w:r>
        <w:r>
          <w:fldChar w:fldCharType="separate"/>
        </w:r>
        <w:r w:rsidR="00D454A8">
          <w:rPr>
            <w:noProof/>
          </w:rPr>
          <w:t>12</w:t>
        </w:r>
        <w:r>
          <w:rPr>
            <w:noProof/>
          </w:rPr>
          <w:fldChar w:fldCharType="end"/>
        </w:r>
      </w:p>
    </w:sdtContent>
  </w:sdt>
  <w:p w:rsidR="000C0179" w:rsidRPr="007E7D11" w:rsidRDefault="000C0179"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561212"/>
      <w:docPartObj>
        <w:docPartGallery w:val="Page Numbers (Bottom of Page)"/>
        <w:docPartUnique/>
      </w:docPartObj>
    </w:sdtPr>
    <w:sdtEndPr>
      <w:rPr>
        <w:noProof/>
      </w:rPr>
    </w:sdtEndPr>
    <w:sdtContent>
      <w:p w:rsidR="000C0179" w:rsidRDefault="000C0179">
        <w:pPr>
          <w:pStyle w:val="Footer"/>
          <w:jc w:val="right"/>
        </w:pPr>
        <w:r>
          <w:fldChar w:fldCharType="begin"/>
        </w:r>
        <w:r>
          <w:instrText xml:space="preserve"> PAGE   \* MERGEFORMAT </w:instrText>
        </w:r>
        <w:r>
          <w:fldChar w:fldCharType="separate"/>
        </w:r>
        <w:r w:rsidR="00D454A8">
          <w:rPr>
            <w:noProof/>
          </w:rPr>
          <w:t>1</w:t>
        </w:r>
        <w:r>
          <w:rPr>
            <w:noProof/>
          </w:rPr>
          <w:fldChar w:fldCharType="end"/>
        </w:r>
      </w:p>
    </w:sdtContent>
  </w:sdt>
  <w:p w:rsidR="000C0179" w:rsidRPr="007E7D11" w:rsidRDefault="000C0179"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6BB" w:rsidRDefault="001966BB" w:rsidP="00871565">
      <w:pPr>
        <w:spacing w:after="0"/>
        <w:ind w:left="0"/>
      </w:pPr>
      <w:r>
        <w:separator/>
      </w:r>
    </w:p>
  </w:footnote>
  <w:footnote w:type="continuationSeparator" w:id="0">
    <w:p w:rsidR="001966BB" w:rsidRDefault="001966BB" w:rsidP="00871565">
      <w:pPr>
        <w:ind w:left="0"/>
      </w:pPr>
      <w:r>
        <w:continuationSeparator/>
      </w:r>
    </w:p>
  </w:footnote>
  <w:footnote w:type="continuationNotice" w:id="1">
    <w:p w:rsidR="001966BB" w:rsidRDefault="001966BB" w:rsidP="00871565">
      <w:pPr>
        <w:spacing w:after="0" w:line="240" w:lineRule="auto"/>
        <w:ind w:left="0"/>
      </w:pPr>
    </w:p>
  </w:footnote>
  <w:footnote w:id="2">
    <w:p w:rsidR="003A50F0" w:rsidRPr="00F12AE6" w:rsidRDefault="003A50F0" w:rsidP="00F12AE6">
      <w:pPr>
        <w:pStyle w:val="FootnoteText"/>
        <w:ind w:left="-1276"/>
        <w:contextualSpacing/>
      </w:pPr>
      <w:r w:rsidRPr="00F12AE6">
        <w:rPr>
          <w:rStyle w:val="FootnoteReference"/>
        </w:rPr>
        <w:footnoteRef/>
      </w:r>
      <w:r w:rsidRPr="00F12AE6">
        <w:t xml:space="preserve"> </w:t>
      </w:r>
      <w:r w:rsidRPr="00F12AE6">
        <w:tab/>
        <w:t>Hotărârea Curții de Justiție din 18 mai 2021 în cauzele conexate C-83/19, C-127/19, C-195/19, C-294/19, C-355/19 și C-379/19, Asociația „Forumul Judecătorilor din România” și alții, punctul 216. Curtea clarifică, de asemenea, faptul că instanței naționale îi revine sarcina de a verifica dacă reforma care a avut drept rezultat, în România, înființarea unei secții specializate a Ministerului Public responsabile cu anchetarea judecătorilor și a procurorilor, precum și normele privind numirea procurorilor repartizați în această secție nu sunt de natură să facă secția permeabilă la influențe exterioare. În ceea ce privește carta, îi revine instanței naționale sarcina de a verifica dacă normele legislative naționale în cauză nu împiedică examinarea cauzei judecătorilor și a procurorilor vizați într</w:t>
      </w:r>
      <w:r w:rsidRPr="00F12AE6">
        <w:rPr>
          <w:rFonts w:ascii="Cambria Math" w:hAnsi="Cambria Math" w:cs="Cambria Math"/>
        </w:rPr>
        <w:t>‑</w:t>
      </w:r>
      <w:r w:rsidRPr="00F12AE6">
        <w:t>un termen rezonabil.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179" w:rsidRDefault="000C0179"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CellMar>
        <w:left w:w="0" w:type="dxa"/>
        <w:right w:w="0" w:type="dxa"/>
      </w:tblCellMar>
      <w:tblLook w:val="04A0" w:firstRow="1" w:lastRow="0" w:firstColumn="1" w:lastColumn="0" w:noHBand="0" w:noVBand="1"/>
    </w:tblPr>
    <w:tblGrid>
      <w:gridCol w:w="6804"/>
      <w:gridCol w:w="4111"/>
    </w:tblGrid>
    <w:tr w:rsidR="000C0179" w:rsidTr="008A4458">
      <w:tc>
        <w:tcPr>
          <w:tcW w:w="6804" w:type="dxa"/>
          <w:shd w:val="clear" w:color="auto" w:fill="auto"/>
        </w:tcPr>
        <w:p w:rsidR="000C0179" w:rsidRPr="00CD5B3B" w:rsidRDefault="000C0179" w:rsidP="00C20EF1">
          <w:pPr>
            <w:pStyle w:val="MediumGrid21"/>
          </w:pPr>
        </w:p>
      </w:tc>
      <w:tc>
        <w:tcPr>
          <w:tcW w:w="4111" w:type="dxa"/>
          <w:shd w:val="clear" w:color="auto" w:fill="auto"/>
          <w:vAlign w:val="center"/>
        </w:tcPr>
        <w:p w:rsidR="000C0179" w:rsidRDefault="000C0179" w:rsidP="00E562FC">
          <w:pPr>
            <w:pStyle w:val="MediumGrid21"/>
            <w:jc w:val="right"/>
          </w:pPr>
        </w:p>
      </w:tc>
    </w:tr>
  </w:tbl>
  <w:p w:rsidR="000C0179" w:rsidRPr="007E7D11" w:rsidRDefault="000C0179"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ECC"/>
    <w:multiLevelType w:val="hybridMultilevel"/>
    <w:tmpl w:val="55E22440"/>
    <w:lvl w:ilvl="0" w:tplc="36329630">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078E8"/>
    <w:multiLevelType w:val="hybridMultilevel"/>
    <w:tmpl w:val="89B2076C"/>
    <w:lvl w:ilvl="0" w:tplc="34B8F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C3276"/>
    <w:multiLevelType w:val="hybridMultilevel"/>
    <w:tmpl w:val="1CDC84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1C7295"/>
    <w:multiLevelType w:val="hybridMultilevel"/>
    <w:tmpl w:val="FDE62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245C0"/>
    <w:multiLevelType w:val="hybridMultilevel"/>
    <w:tmpl w:val="5434E0B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B82F21"/>
    <w:multiLevelType w:val="hybridMultilevel"/>
    <w:tmpl w:val="004829D4"/>
    <w:lvl w:ilvl="0" w:tplc="EFAC4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0781B"/>
    <w:multiLevelType w:val="hybridMultilevel"/>
    <w:tmpl w:val="BC721992"/>
    <w:lvl w:ilvl="0" w:tplc="0409000B">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9F341B"/>
    <w:multiLevelType w:val="hybridMultilevel"/>
    <w:tmpl w:val="3F38D19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E34265C"/>
    <w:multiLevelType w:val="hybridMultilevel"/>
    <w:tmpl w:val="8350018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FDC114D"/>
    <w:multiLevelType w:val="hybridMultilevel"/>
    <w:tmpl w:val="C67282F2"/>
    <w:lvl w:ilvl="0" w:tplc="04090009">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0C21513"/>
    <w:multiLevelType w:val="hybridMultilevel"/>
    <w:tmpl w:val="71A084A8"/>
    <w:lvl w:ilvl="0" w:tplc="98B6FB6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1E4156B"/>
    <w:multiLevelType w:val="hybridMultilevel"/>
    <w:tmpl w:val="FD508400"/>
    <w:lvl w:ilvl="0" w:tplc="93DCF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01613"/>
    <w:multiLevelType w:val="hybridMultilevel"/>
    <w:tmpl w:val="6152011A"/>
    <w:lvl w:ilvl="0" w:tplc="9104C258">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D265B4"/>
    <w:multiLevelType w:val="hybridMultilevel"/>
    <w:tmpl w:val="FD483B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F6597D"/>
    <w:multiLevelType w:val="hybridMultilevel"/>
    <w:tmpl w:val="627ED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F5966"/>
    <w:multiLevelType w:val="hybridMultilevel"/>
    <w:tmpl w:val="B470A9F4"/>
    <w:lvl w:ilvl="0" w:tplc="A9D850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0AFA"/>
    <w:multiLevelType w:val="hybridMultilevel"/>
    <w:tmpl w:val="49B28D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728C5"/>
    <w:multiLevelType w:val="hybridMultilevel"/>
    <w:tmpl w:val="FE9686D4"/>
    <w:lvl w:ilvl="0" w:tplc="A9D850C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4692BA9"/>
    <w:multiLevelType w:val="hybridMultilevel"/>
    <w:tmpl w:val="532E633A"/>
    <w:lvl w:ilvl="0" w:tplc="A9D8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236F1"/>
    <w:multiLevelType w:val="hybridMultilevel"/>
    <w:tmpl w:val="583C4B46"/>
    <w:lvl w:ilvl="0" w:tplc="333A9520">
      <w:start w:val="2"/>
      <w:numFmt w:val="bullet"/>
      <w:lvlText w:val="-"/>
      <w:lvlJc w:val="left"/>
      <w:pPr>
        <w:ind w:left="394" w:hanging="360"/>
      </w:pPr>
      <w:rPr>
        <w:rFonts w:ascii="Trebuchet MS" w:eastAsia="Times New Roman" w:hAnsi="Trebuchet MS"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0" w15:restartNumberingAfterBreak="0">
    <w:nsid w:val="492440AC"/>
    <w:multiLevelType w:val="hybridMultilevel"/>
    <w:tmpl w:val="5CF2366E"/>
    <w:lvl w:ilvl="0" w:tplc="63CE3236">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498C324C"/>
    <w:multiLevelType w:val="hybridMultilevel"/>
    <w:tmpl w:val="D3FAD4AC"/>
    <w:lvl w:ilvl="0" w:tplc="D208381E">
      <w:start w:val="2"/>
      <w:numFmt w:val="bullet"/>
      <w:lvlText w:val="-"/>
      <w:lvlJc w:val="left"/>
      <w:pPr>
        <w:ind w:left="720" w:hanging="360"/>
      </w:pPr>
      <w:rPr>
        <w:rFonts w:ascii="Trebuchet MS" w:eastAsia="Times New Roman" w:hAnsi="Trebuchet MS" w:cs="Times New Roman" w:hint="default"/>
      </w:rPr>
    </w:lvl>
    <w:lvl w:ilvl="1" w:tplc="74F8EB22">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83525"/>
    <w:multiLevelType w:val="hybridMultilevel"/>
    <w:tmpl w:val="87684600"/>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9F636FF"/>
    <w:multiLevelType w:val="hybridMultilevel"/>
    <w:tmpl w:val="1ADE416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C774A3"/>
    <w:multiLevelType w:val="hybridMultilevel"/>
    <w:tmpl w:val="67665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D5B69"/>
    <w:multiLevelType w:val="hybridMultilevel"/>
    <w:tmpl w:val="2E72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3556D"/>
    <w:multiLevelType w:val="hybridMultilevel"/>
    <w:tmpl w:val="E97238DE"/>
    <w:lvl w:ilvl="0" w:tplc="E3C0FE64">
      <w:start w:val="3"/>
      <w:numFmt w:val="bullet"/>
      <w:lvlText w:val="-"/>
      <w:lvlJc w:val="left"/>
      <w:pPr>
        <w:ind w:left="429" w:hanging="360"/>
      </w:pPr>
      <w:rPr>
        <w:rFonts w:ascii="Trebuchet MS" w:eastAsia="MS Mincho" w:hAnsi="Trebuchet MS" w:cs="Times New Roman"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27" w15:restartNumberingAfterBreak="0">
    <w:nsid w:val="4E9E3898"/>
    <w:multiLevelType w:val="hybridMultilevel"/>
    <w:tmpl w:val="3E941C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FB1DF5"/>
    <w:multiLevelType w:val="hybridMultilevel"/>
    <w:tmpl w:val="3FF2757C"/>
    <w:lvl w:ilvl="0" w:tplc="9E12B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34CA7"/>
    <w:multiLevelType w:val="hybridMultilevel"/>
    <w:tmpl w:val="C5A2891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5A0173D"/>
    <w:multiLevelType w:val="hybridMultilevel"/>
    <w:tmpl w:val="0AC8F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05C78"/>
    <w:multiLevelType w:val="hybridMultilevel"/>
    <w:tmpl w:val="0636C794"/>
    <w:lvl w:ilvl="0" w:tplc="2A181E58">
      <w:start w:val="1"/>
      <w:numFmt w:val="upperRoman"/>
      <w:lvlText w:val="%1."/>
      <w:lvlJc w:val="left"/>
      <w:pPr>
        <w:ind w:left="360" w:hanging="360"/>
      </w:pPr>
      <w:rPr>
        <w:rFonts w:ascii="Trebuchet MS" w:eastAsia="MS Mincho" w:hAnsi="Trebuchet MS" w:cs="Times New Roman"/>
        <w:b/>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58EF0BE3"/>
    <w:multiLevelType w:val="hybridMultilevel"/>
    <w:tmpl w:val="4FE682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0B54011"/>
    <w:multiLevelType w:val="hybridMultilevel"/>
    <w:tmpl w:val="DC461B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1152A96"/>
    <w:multiLevelType w:val="hybridMultilevel"/>
    <w:tmpl w:val="747C12D4"/>
    <w:lvl w:ilvl="0" w:tplc="0409000B">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0E3334"/>
    <w:multiLevelType w:val="hybridMultilevel"/>
    <w:tmpl w:val="FDFA188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48A4086"/>
    <w:multiLevelType w:val="hybridMultilevel"/>
    <w:tmpl w:val="06F899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7202B8"/>
    <w:multiLevelType w:val="hybridMultilevel"/>
    <w:tmpl w:val="E4AE670E"/>
    <w:lvl w:ilvl="0" w:tplc="A9D8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15BCB"/>
    <w:multiLevelType w:val="hybridMultilevel"/>
    <w:tmpl w:val="177065CE"/>
    <w:lvl w:ilvl="0" w:tplc="C8C6E502">
      <w:start w:val="5"/>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35AA0"/>
    <w:multiLevelType w:val="hybridMultilevel"/>
    <w:tmpl w:val="142E862C"/>
    <w:lvl w:ilvl="0" w:tplc="D6F63B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0562C3"/>
    <w:multiLevelType w:val="hybridMultilevel"/>
    <w:tmpl w:val="DD5A71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82A3F37"/>
    <w:multiLevelType w:val="hybridMultilevel"/>
    <w:tmpl w:val="508EE938"/>
    <w:lvl w:ilvl="0" w:tplc="66880586">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31"/>
  </w:num>
  <w:num w:numId="2">
    <w:abstractNumId w:val="17"/>
  </w:num>
  <w:num w:numId="3">
    <w:abstractNumId w:val="20"/>
  </w:num>
  <w:num w:numId="4">
    <w:abstractNumId w:val="14"/>
  </w:num>
  <w:num w:numId="5">
    <w:abstractNumId w:val="5"/>
  </w:num>
  <w:num w:numId="6">
    <w:abstractNumId w:val="30"/>
  </w:num>
  <w:num w:numId="7">
    <w:abstractNumId w:val="0"/>
  </w:num>
  <w:num w:numId="8">
    <w:abstractNumId w:val="39"/>
  </w:num>
  <w:num w:numId="9">
    <w:abstractNumId w:val="21"/>
  </w:num>
  <w:num w:numId="10">
    <w:abstractNumId w:val="11"/>
  </w:num>
  <w:num w:numId="11">
    <w:abstractNumId w:val="1"/>
  </w:num>
  <w:num w:numId="12">
    <w:abstractNumId w:val="28"/>
  </w:num>
  <w:num w:numId="13">
    <w:abstractNumId w:val="12"/>
  </w:num>
  <w:num w:numId="14">
    <w:abstractNumId w:val="18"/>
  </w:num>
  <w:num w:numId="15">
    <w:abstractNumId w:val="37"/>
  </w:num>
  <w:num w:numId="16">
    <w:abstractNumId w:val="15"/>
  </w:num>
  <w:num w:numId="17">
    <w:abstractNumId w:val="41"/>
  </w:num>
  <w:num w:numId="18">
    <w:abstractNumId w:val="26"/>
  </w:num>
  <w:num w:numId="19">
    <w:abstractNumId w:val="25"/>
  </w:num>
  <w:num w:numId="20">
    <w:abstractNumId w:val="24"/>
  </w:num>
  <w:num w:numId="21">
    <w:abstractNumId w:val="38"/>
  </w:num>
  <w:num w:numId="22">
    <w:abstractNumId w:val="40"/>
  </w:num>
  <w:num w:numId="23">
    <w:abstractNumId w:val="29"/>
  </w:num>
  <w:num w:numId="24">
    <w:abstractNumId w:val="32"/>
  </w:num>
  <w:num w:numId="25">
    <w:abstractNumId w:val="19"/>
  </w:num>
  <w:num w:numId="26">
    <w:abstractNumId w:val="3"/>
  </w:num>
  <w:num w:numId="27">
    <w:abstractNumId w:val="7"/>
  </w:num>
  <w:num w:numId="28">
    <w:abstractNumId w:val="16"/>
  </w:num>
  <w:num w:numId="29">
    <w:abstractNumId w:val="6"/>
  </w:num>
  <w:num w:numId="30">
    <w:abstractNumId w:val="34"/>
  </w:num>
  <w:num w:numId="31">
    <w:abstractNumId w:val="9"/>
  </w:num>
  <w:num w:numId="32">
    <w:abstractNumId w:val="22"/>
  </w:num>
  <w:num w:numId="33">
    <w:abstractNumId w:val="36"/>
  </w:num>
  <w:num w:numId="34">
    <w:abstractNumId w:val="10"/>
  </w:num>
  <w:num w:numId="35">
    <w:abstractNumId w:val="35"/>
  </w:num>
  <w:num w:numId="36">
    <w:abstractNumId w:val="33"/>
  </w:num>
  <w:num w:numId="37">
    <w:abstractNumId w:val="8"/>
  </w:num>
  <w:num w:numId="38">
    <w:abstractNumId w:val="13"/>
  </w:num>
  <w:num w:numId="39">
    <w:abstractNumId w:val="2"/>
  </w:num>
  <w:num w:numId="40">
    <w:abstractNumId w:val="27"/>
  </w:num>
  <w:num w:numId="41">
    <w:abstractNumId w:val="2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F3A"/>
    <w:rsid w:val="00001360"/>
    <w:rsid w:val="0000151B"/>
    <w:rsid w:val="000024D7"/>
    <w:rsid w:val="00002BB0"/>
    <w:rsid w:val="00003586"/>
    <w:rsid w:val="00007A9D"/>
    <w:rsid w:val="000105DA"/>
    <w:rsid w:val="00015DBD"/>
    <w:rsid w:val="000175C4"/>
    <w:rsid w:val="00021B19"/>
    <w:rsid w:val="0002256C"/>
    <w:rsid w:val="00023179"/>
    <w:rsid w:val="00023330"/>
    <w:rsid w:val="00027713"/>
    <w:rsid w:val="0003110F"/>
    <w:rsid w:val="000346EA"/>
    <w:rsid w:val="00034EE3"/>
    <w:rsid w:val="00035BFB"/>
    <w:rsid w:val="000369B5"/>
    <w:rsid w:val="00036CF6"/>
    <w:rsid w:val="00041F59"/>
    <w:rsid w:val="00047EB5"/>
    <w:rsid w:val="0005443B"/>
    <w:rsid w:val="000570F5"/>
    <w:rsid w:val="00063BD8"/>
    <w:rsid w:val="00071067"/>
    <w:rsid w:val="00071536"/>
    <w:rsid w:val="0007317F"/>
    <w:rsid w:val="00075136"/>
    <w:rsid w:val="00094F9F"/>
    <w:rsid w:val="00096E7B"/>
    <w:rsid w:val="000A5FDF"/>
    <w:rsid w:val="000B4C0D"/>
    <w:rsid w:val="000B52A7"/>
    <w:rsid w:val="000B62E0"/>
    <w:rsid w:val="000B77D6"/>
    <w:rsid w:val="000C0179"/>
    <w:rsid w:val="000C5E8C"/>
    <w:rsid w:val="000C7B90"/>
    <w:rsid w:val="000D1F05"/>
    <w:rsid w:val="000D2455"/>
    <w:rsid w:val="000E07D8"/>
    <w:rsid w:val="000E1E17"/>
    <w:rsid w:val="000E27A0"/>
    <w:rsid w:val="000E597A"/>
    <w:rsid w:val="000E6859"/>
    <w:rsid w:val="000F17C6"/>
    <w:rsid w:val="000F50AE"/>
    <w:rsid w:val="000F52D3"/>
    <w:rsid w:val="000F5E3B"/>
    <w:rsid w:val="000F7504"/>
    <w:rsid w:val="00100F36"/>
    <w:rsid w:val="0010565C"/>
    <w:rsid w:val="00105E38"/>
    <w:rsid w:val="001120C5"/>
    <w:rsid w:val="00115579"/>
    <w:rsid w:val="0011673C"/>
    <w:rsid w:val="00124CB6"/>
    <w:rsid w:val="001447E0"/>
    <w:rsid w:val="00146590"/>
    <w:rsid w:val="00150CB5"/>
    <w:rsid w:val="00155315"/>
    <w:rsid w:val="00155559"/>
    <w:rsid w:val="00155E55"/>
    <w:rsid w:val="001611CA"/>
    <w:rsid w:val="001631D2"/>
    <w:rsid w:val="001644A7"/>
    <w:rsid w:val="00164790"/>
    <w:rsid w:val="001654A3"/>
    <w:rsid w:val="00180565"/>
    <w:rsid w:val="001827D0"/>
    <w:rsid w:val="001946CE"/>
    <w:rsid w:val="0019592A"/>
    <w:rsid w:val="00195F78"/>
    <w:rsid w:val="001966BB"/>
    <w:rsid w:val="001A0B7A"/>
    <w:rsid w:val="001A0DAC"/>
    <w:rsid w:val="001A53AE"/>
    <w:rsid w:val="001A6313"/>
    <w:rsid w:val="001A7CFC"/>
    <w:rsid w:val="001B663C"/>
    <w:rsid w:val="001C46FC"/>
    <w:rsid w:val="001D1BE5"/>
    <w:rsid w:val="001D57E8"/>
    <w:rsid w:val="001E192C"/>
    <w:rsid w:val="001E420D"/>
    <w:rsid w:val="001F126A"/>
    <w:rsid w:val="001F14A3"/>
    <w:rsid w:val="001F4376"/>
    <w:rsid w:val="001F455B"/>
    <w:rsid w:val="001F5DA9"/>
    <w:rsid w:val="00202EBA"/>
    <w:rsid w:val="00203472"/>
    <w:rsid w:val="002037DC"/>
    <w:rsid w:val="00205014"/>
    <w:rsid w:val="00205F4E"/>
    <w:rsid w:val="002062E1"/>
    <w:rsid w:val="002103E8"/>
    <w:rsid w:val="00210900"/>
    <w:rsid w:val="00211609"/>
    <w:rsid w:val="00211D64"/>
    <w:rsid w:val="00212A34"/>
    <w:rsid w:val="00214026"/>
    <w:rsid w:val="0021481F"/>
    <w:rsid w:val="002161E2"/>
    <w:rsid w:val="002217B2"/>
    <w:rsid w:val="00221F7C"/>
    <w:rsid w:val="00222CC1"/>
    <w:rsid w:val="00227FE4"/>
    <w:rsid w:val="002326F8"/>
    <w:rsid w:val="002337B6"/>
    <w:rsid w:val="00237699"/>
    <w:rsid w:val="00237931"/>
    <w:rsid w:val="00242723"/>
    <w:rsid w:val="00250734"/>
    <w:rsid w:val="00253FC8"/>
    <w:rsid w:val="00254FEB"/>
    <w:rsid w:val="002662A0"/>
    <w:rsid w:val="00270281"/>
    <w:rsid w:val="00271935"/>
    <w:rsid w:val="00273E08"/>
    <w:rsid w:val="0027776A"/>
    <w:rsid w:val="00281971"/>
    <w:rsid w:val="00284333"/>
    <w:rsid w:val="00287C9B"/>
    <w:rsid w:val="002902EE"/>
    <w:rsid w:val="00292956"/>
    <w:rsid w:val="00296ED0"/>
    <w:rsid w:val="00297DDC"/>
    <w:rsid w:val="002A5742"/>
    <w:rsid w:val="002A5EBB"/>
    <w:rsid w:val="002A5FE4"/>
    <w:rsid w:val="002A7ABE"/>
    <w:rsid w:val="002A7DE4"/>
    <w:rsid w:val="002A7F29"/>
    <w:rsid w:val="002B0CA5"/>
    <w:rsid w:val="002B11DF"/>
    <w:rsid w:val="002B2A34"/>
    <w:rsid w:val="002B2D08"/>
    <w:rsid w:val="002B58DB"/>
    <w:rsid w:val="002B6052"/>
    <w:rsid w:val="002C1BD7"/>
    <w:rsid w:val="002D22E7"/>
    <w:rsid w:val="002D31A9"/>
    <w:rsid w:val="002D70AF"/>
    <w:rsid w:val="002E0103"/>
    <w:rsid w:val="002E08A2"/>
    <w:rsid w:val="002E1753"/>
    <w:rsid w:val="002E2A8D"/>
    <w:rsid w:val="002E580F"/>
    <w:rsid w:val="002E65A5"/>
    <w:rsid w:val="002F0279"/>
    <w:rsid w:val="002F161F"/>
    <w:rsid w:val="002F244C"/>
    <w:rsid w:val="002F5E1E"/>
    <w:rsid w:val="003001B4"/>
    <w:rsid w:val="003033E6"/>
    <w:rsid w:val="0031239A"/>
    <w:rsid w:val="00321733"/>
    <w:rsid w:val="00321B0E"/>
    <w:rsid w:val="0032422C"/>
    <w:rsid w:val="00331094"/>
    <w:rsid w:val="0035535B"/>
    <w:rsid w:val="003560DB"/>
    <w:rsid w:val="00357417"/>
    <w:rsid w:val="00357FA5"/>
    <w:rsid w:val="00362C9F"/>
    <w:rsid w:val="00362F67"/>
    <w:rsid w:val="0036368B"/>
    <w:rsid w:val="003641CA"/>
    <w:rsid w:val="003677C6"/>
    <w:rsid w:val="00371446"/>
    <w:rsid w:val="00372EF0"/>
    <w:rsid w:val="00374826"/>
    <w:rsid w:val="00374C68"/>
    <w:rsid w:val="0038175C"/>
    <w:rsid w:val="00386867"/>
    <w:rsid w:val="00390C4C"/>
    <w:rsid w:val="00396DC7"/>
    <w:rsid w:val="003A2F9D"/>
    <w:rsid w:val="003A3AA0"/>
    <w:rsid w:val="003A50F0"/>
    <w:rsid w:val="003A7FB0"/>
    <w:rsid w:val="003B59AE"/>
    <w:rsid w:val="003C28D2"/>
    <w:rsid w:val="003E7180"/>
    <w:rsid w:val="003E750E"/>
    <w:rsid w:val="003F051E"/>
    <w:rsid w:val="003F25A5"/>
    <w:rsid w:val="003F2E3F"/>
    <w:rsid w:val="003F3497"/>
    <w:rsid w:val="003F67DF"/>
    <w:rsid w:val="00403A18"/>
    <w:rsid w:val="00403AB2"/>
    <w:rsid w:val="0040498B"/>
    <w:rsid w:val="004104A8"/>
    <w:rsid w:val="004111E0"/>
    <w:rsid w:val="0041442B"/>
    <w:rsid w:val="004175F0"/>
    <w:rsid w:val="00421ABD"/>
    <w:rsid w:val="00421CFB"/>
    <w:rsid w:val="004233DD"/>
    <w:rsid w:val="00424341"/>
    <w:rsid w:val="004264A4"/>
    <w:rsid w:val="00436DC8"/>
    <w:rsid w:val="00442460"/>
    <w:rsid w:val="00442F4A"/>
    <w:rsid w:val="004439E9"/>
    <w:rsid w:val="00447E8A"/>
    <w:rsid w:val="004514AB"/>
    <w:rsid w:val="00457A93"/>
    <w:rsid w:val="00462299"/>
    <w:rsid w:val="004630DD"/>
    <w:rsid w:val="0046633E"/>
    <w:rsid w:val="00466D6C"/>
    <w:rsid w:val="004726AD"/>
    <w:rsid w:val="00491034"/>
    <w:rsid w:val="00493AD5"/>
    <w:rsid w:val="00495FCD"/>
    <w:rsid w:val="004A4251"/>
    <w:rsid w:val="004A5494"/>
    <w:rsid w:val="004A5BB3"/>
    <w:rsid w:val="004B056B"/>
    <w:rsid w:val="004B356F"/>
    <w:rsid w:val="004B53DD"/>
    <w:rsid w:val="004B6D69"/>
    <w:rsid w:val="004C51D7"/>
    <w:rsid w:val="004C68CA"/>
    <w:rsid w:val="004C76F9"/>
    <w:rsid w:val="004D2C46"/>
    <w:rsid w:val="004D6AE6"/>
    <w:rsid w:val="004E33F6"/>
    <w:rsid w:val="004F094D"/>
    <w:rsid w:val="004F2C37"/>
    <w:rsid w:val="004F5812"/>
    <w:rsid w:val="004F6A3D"/>
    <w:rsid w:val="004F75E6"/>
    <w:rsid w:val="00504D17"/>
    <w:rsid w:val="00512AE0"/>
    <w:rsid w:val="0051411D"/>
    <w:rsid w:val="0052404F"/>
    <w:rsid w:val="005312D3"/>
    <w:rsid w:val="00532485"/>
    <w:rsid w:val="005342B6"/>
    <w:rsid w:val="00534972"/>
    <w:rsid w:val="0053713A"/>
    <w:rsid w:val="00537DEE"/>
    <w:rsid w:val="0054086A"/>
    <w:rsid w:val="00543045"/>
    <w:rsid w:val="00544708"/>
    <w:rsid w:val="00544A99"/>
    <w:rsid w:val="00547A6D"/>
    <w:rsid w:val="0055090F"/>
    <w:rsid w:val="00565C9C"/>
    <w:rsid w:val="005663C6"/>
    <w:rsid w:val="005712C8"/>
    <w:rsid w:val="005725E2"/>
    <w:rsid w:val="00582B29"/>
    <w:rsid w:val="005914A6"/>
    <w:rsid w:val="005915D2"/>
    <w:rsid w:val="00591A82"/>
    <w:rsid w:val="00592AA7"/>
    <w:rsid w:val="0059449D"/>
    <w:rsid w:val="005961BB"/>
    <w:rsid w:val="005970E8"/>
    <w:rsid w:val="00597378"/>
    <w:rsid w:val="00597619"/>
    <w:rsid w:val="005A6789"/>
    <w:rsid w:val="005A7B2D"/>
    <w:rsid w:val="005B2AF8"/>
    <w:rsid w:val="005B3F45"/>
    <w:rsid w:val="005B7563"/>
    <w:rsid w:val="005B7A7A"/>
    <w:rsid w:val="005C20E0"/>
    <w:rsid w:val="005D10BD"/>
    <w:rsid w:val="005D36B6"/>
    <w:rsid w:val="005D4BD9"/>
    <w:rsid w:val="005D557A"/>
    <w:rsid w:val="005D6E0D"/>
    <w:rsid w:val="005D7F08"/>
    <w:rsid w:val="005E2F22"/>
    <w:rsid w:val="005E4686"/>
    <w:rsid w:val="005E6FFA"/>
    <w:rsid w:val="005E71F1"/>
    <w:rsid w:val="005F35BC"/>
    <w:rsid w:val="005F57B6"/>
    <w:rsid w:val="005F66A5"/>
    <w:rsid w:val="006000F6"/>
    <w:rsid w:val="00601237"/>
    <w:rsid w:val="00604DD4"/>
    <w:rsid w:val="006143B5"/>
    <w:rsid w:val="00614922"/>
    <w:rsid w:val="00616C96"/>
    <w:rsid w:val="00620E77"/>
    <w:rsid w:val="006223B8"/>
    <w:rsid w:val="00626C53"/>
    <w:rsid w:val="00626E59"/>
    <w:rsid w:val="006319D0"/>
    <w:rsid w:val="00632D1A"/>
    <w:rsid w:val="006350A3"/>
    <w:rsid w:val="006356EE"/>
    <w:rsid w:val="006367D2"/>
    <w:rsid w:val="00636B3B"/>
    <w:rsid w:val="006527FA"/>
    <w:rsid w:val="006542D6"/>
    <w:rsid w:val="00654929"/>
    <w:rsid w:val="006552BB"/>
    <w:rsid w:val="00662BB7"/>
    <w:rsid w:val="006631A0"/>
    <w:rsid w:val="00666260"/>
    <w:rsid w:val="00672590"/>
    <w:rsid w:val="0067414E"/>
    <w:rsid w:val="006745A2"/>
    <w:rsid w:val="00674B7C"/>
    <w:rsid w:val="00677E9B"/>
    <w:rsid w:val="00677FEB"/>
    <w:rsid w:val="006818C1"/>
    <w:rsid w:val="00682FB5"/>
    <w:rsid w:val="006834CE"/>
    <w:rsid w:val="00695107"/>
    <w:rsid w:val="006A018E"/>
    <w:rsid w:val="006A24D4"/>
    <w:rsid w:val="006A263E"/>
    <w:rsid w:val="006A26B5"/>
    <w:rsid w:val="006A4488"/>
    <w:rsid w:val="006B226E"/>
    <w:rsid w:val="006B3C27"/>
    <w:rsid w:val="006B528B"/>
    <w:rsid w:val="006B69A7"/>
    <w:rsid w:val="006B6C15"/>
    <w:rsid w:val="006C0A55"/>
    <w:rsid w:val="006C37A1"/>
    <w:rsid w:val="006C6001"/>
    <w:rsid w:val="006D655C"/>
    <w:rsid w:val="006D6E26"/>
    <w:rsid w:val="006D7378"/>
    <w:rsid w:val="006E236B"/>
    <w:rsid w:val="006E27F8"/>
    <w:rsid w:val="006F0A9F"/>
    <w:rsid w:val="006F0C3E"/>
    <w:rsid w:val="006F2A10"/>
    <w:rsid w:val="006F44CF"/>
    <w:rsid w:val="00700AF3"/>
    <w:rsid w:val="007035D0"/>
    <w:rsid w:val="00710902"/>
    <w:rsid w:val="007112D5"/>
    <w:rsid w:val="00715AF9"/>
    <w:rsid w:val="00722BEC"/>
    <w:rsid w:val="00723EBD"/>
    <w:rsid w:val="00725EF8"/>
    <w:rsid w:val="00725F2C"/>
    <w:rsid w:val="00730C7B"/>
    <w:rsid w:val="00731F74"/>
    <w:rsid w:val="0073545F"/>
    <w:rsid w:val="00740335"/>
    <w:rsid w:val="0074047A"/>
    <w:rsid w:val="00740EEB"/>
    <w:rsid w:val="0074348C"/>
    <w:rsid w:val="00743D2D"/>
    <w:rsid w:val="00751C15"/>
    <w:rsid w:val="00756015"/>
    <w:rsid w:val="00763E11"/>
    <w:rsid w:val="007646B7"/>
    <w:rsid w:val="00764B30"/>
    <w:rsid w:val="00766368"/>
    <w:rsid w:val="00766E0E"/>
    <w:rsid w:val="007748B2"/>
    <w:rsid w:val="00775586"/>
    <w:rsid w:val="007802B5"/>
    <w:rsid w:val="0078059D"/>
    <w:rsid w:val="00781422"/>
    <w:rsid w:val="00785579"/>
    <w:rsid w:val="007879AD"/>
    <w:rsid w:val="00790B5B"/>
    <w:rsid w:val="00795982"/>
    <w:rsid w:val="007A0ED8"/>
    <w:rsid w:val="007A11F0"/>
    <w:rsid w:val="007A1A6A"/>
    <w:rsid w:val="007A1CED"/>
    <w:rsid w:val="007A3B5E"/>
    <w:rsid w:val="007A6BEE"/>
    <w:rsid w:val="007B09F5"/>
    <w:rsid w:val="007B5F53"/>
    <w:rsid w:val="007B686E"/>
    <w:rsid w:val="007B776F"/>
    <w:rsid w:val="007C0A7A"/>
    <w:rsid w:val="007C419B"/>
    <w:rsid w:val="007C5502"/>
    <w:rsid w:val="007C569A"/>
    <w:rsid w:val="007E22E0"/>
    <w:rsid w:val="007E371C"/>
    <w:rsid w:val="007E4DA9"/>
    <w:rsid w:val="007E5522"/>
    <w:rsid w:val="007E5A7B"/>
    <w:rsid w:val="007E7D11"/>
    <w:rsid w:val="007F5364"/>
    <w:rsid w:val="00810CE9"/>
    <w:rsid w:val="00810DA2"/>
    <w:rsid w:val="0081212C"/>
    <w:rsid w:val="00812B9F"/>
    <w:rsid w:val="0081718E"/>
    <w:rsid w:val="00817FDD"/>
    <w:rsid w:val="008231E2"/>
    <w:rsid w:val="00826824"/>
    <w:rsid w:val="008342F4"/>
    <w:rsid w:val="008343FC"/>
    <w:rsid w:val="008377D7"/>
    <w:rsid w:val="00840F14"/>
    <w:rsid w:val="008432DC"/>
    <w:rsid w:val="0084631E"/>
    <w:rsid w:val="00846BFD"/>
    <w:rsid w:val="0085062E"/>
    <w:rsid w:val="00850C34"/>
    <w:rsid w:val="00852C2E"/>
    <w:rsid w:val="00852E71"/>
    <w:rsid w:val="008668E5"/>
    <w:rsid w:val="0086694A"/>
    <w:rsid w:val="00866B83"/>
    <w:rsid w:val="00870D7F"/>
    <w:rsid w:val="00871004"/>
    <w:rsid w:val="00871565"/>
    <w:rsid w:val="00871DA8"/>
    <w:rsid w:val="00873D3B"/>
    <w:rsid w:val="00874452"/>
    <w:rsid w:val="00874FC7"/>
    <w:rsid w:val="008753B4"/>
    <w:rsid w:val="0087743D"/>
    <w:rsid w:val="00880959"/>
    <w:rsid w:val="0088750D"/>
    <w:rsid w:val="00891AFB"/>
    <w:rsid w:val="0089289B"/>
    <w:rsid w:val="008935E0"/>
    <w:rsid w:val="008A2AC0"/>
    <w:rsid w:val="008A3C0D"/>
    <w:rsid w:val="008A440F"/>
    <w:rsid w:val="008A4458"/>
    <w:rsid w:val="008B0C23"/>
    <w:rsid w:val="008B0E7E"/>
    <w:rsid w:val="008B3D63"/>
    <w:rsid w:val="008B62F4"/>
    <w:rsid w:val="008B63B2"/>
    <w:rsid w:val="008C2095"/>
    <w:rsid w:val="008C3A6B"/>
    <w:rsid w:val="008C45AE"/>
    <w:rsid w:val="008C5D92"/>
    <w:rsid w:val="008C70A8"/>
    <w:rsid w:val="008D0F31"/>
    <w:rsid w:val="008E08A3"/>
    <w:rsid w:val="008E2CF8"/>
    <w:rsid w:val="008E708A"/>
    <w:rsid w:val="008E7863"/>
    <w:rsid w:val="008F0E75"/>
    <w:rsid w:val="008F6386"/>
    <w:rsid w:val="0090024A"/>
    <w:rsid w:val="00903AE5"/>
    <w:rsid w:val="00905A36"/>
    <w:rsid w:val="00905C64"/>
    <w:rsid w:val="00906A78"/>
    <w:rsid w:val="00915096"/>
    <w:rsid w:val="00921837"/>
    <w:rsid w:val="009306C9"/>
    <w:rsid w:val="009377D1"/>
    <w:rsid w:val="00943B34"/>
    <w:rsid w:val="0094494F"/>
    <w:rsid w:val="0094530E"/>
    <w:rsid w:val="009618FE"/>
    <w:rsid w:val="00971C7C"/>
    <w:rsid w:val="00973C7F"/>
    <w:rsid w:val="00974016"/>
    <w:rsid w:val="00981D36"/>
    <w:rsid w:val="009822E1"/>
    <w:rsid w:val="00983704"/>
    <w:rsid w:val="009920A0"/>
    <w:rsid w:val="009941E9"/>
    <w:rsid w:val="00996208"/>
    <w:rsid w:val="00996844"/>
    <w:rsid w:val="00996938"/>
    <w:rsid w:val="009A1C94"/>
    <w:rsid w:val="009A5375"/>
    <w:rsid w:val="009A6FD2"/>
    <w:rsid w:val="009A7B23"/>
    <w:rsid w:val="009A7F4B"/>
    <w:rsid w:val="009B7E66"/>
    <w:rsid w:val="009C32CB"/>
    <w:rsid w:val="009D6B6A"/>
    <w:rsid w:val="009E0C77"/>
    <w:rsid w:val="009E0DCD"/>
    <w:rsid w:val="009E42BF"/>
    <w:rsid w:val="009E6B74"/>
    <w:rsid w:val="009E7609"/>
    <w:rsid w:val="009F2467"/>
    <w:rsid w:val="009F2C07"/>
    <w:rsid w:val="009F574F"/>
    <w:rsid w:val="00A00A17"/>
    <w:rsid w:val="00A026EE"/>
    <w:rsid w:val="00A13362"/>
    <w:rsid w:val="00A13890"/>
    <w:rsid w:val="00A143BE"/>
    <w:rsid w:val="00A20564"/>
    <w:rsid w:val="00A22AF2"/>
    <w:rsid w:val="00A26F61"/>
    <w:rsid w:val="00A26F81"/>
    <w:rsid w:val="00A323AB"/>
    <w:rsid w:val="00A32A9A"/>
    <w:rsid w:val="00A33E37"/>
    <w:rsid w:val="00A341A4"/>
    <w:rsid w:val="00A358C4"/>
    <w:rsid w:val="00A36732"/>
    <w:rsid w:val="00A46376"/>
    <w:rsid w:val="00A52B73"/>
    <w:rsid w:val="00A53A82"/>
    <w:rsid w:val="00A62CD5"/>
    <w:rsid w:val="00A64B98"/>
    <w:rsid w:val="00A65CE5"/>
    <w:rsid w:val="00A74FAE"/>
    <w:rsid w:val="00A75794"/>
    <w:rsid w:val="00A76176"/>
    <w:rsid w:val="00A7669D"/>
    <w:rsid w:val="00A76C8E"/>
    <w:rsid w:val="00A81397"/>
    <w:rsid w:val="00A851E9"/>
    <w:rsid w:val="00A903A5"/>
    <w:rsid w:val="00A946DE"/>
    <w:rsid w:val="00A94B10"/>
    <w:rsid w:val="00AA0F30"/>
    <w:rsid w:val="00AA1C92"/>
    <w:rsid w:val="00AA2AF7"/>
    <w:rsid w:val="00AB0993"/>
    <w:rsid w:val="00AB52AD"/>
    <w:rsid w:val="00AB548C"/>
    <w:rsid w:val="00AB61D7"/>
    <w:rsid w:val="00AC4075"/>
    <w:rsid w:val="00AC455E"/>
    <w:rsid w:val="00AC460A"/>
    <w:rsid w:val="00AC6390"/>
    <w:rsid w:val="00AD2C11"/>
    <w:rsid w:val="00AD6F56"/>
    <w:rsid w:val="00AE26B4"/>
    <w:rsid w:val="00AE7B9D"/>
    <w:rsid w:val="00AF22C0"/>
    <w:rsid w:val="00AF2F56"/>
    <w:rsid w:val="00AF5E63"/>
    <w:rsid w:val="00B01131"/>
    <w:rsid w:val="00B04035"/>
    <w:rsid w:val="00B04C12"/>
    <w:rsid w:val="00B04FEC"/>
    <w:rsid w:val="00B10A59"/>
    <w:rsid w:val="00B13162"/>
    <w:rsid w:val="00B13BB4"/>
    <w:rsid w:val="00B1425B"/>
    <w:rsid w:val="00B14306"/>
    <w:rsid w:val="00B15CB3"/>
    <w:rsid w:val="00B162C3"/>
    <w:rsid w:val="00B2085C"/>
    <w:rsid w:val="00B23195"/>
    <w:rsid w:val="00B31C91"/>
    <w:rsid w:val="00B325C0"/>
    <w:rsid w:val="00B37744"/>
    <w:rsid w:val="00B46E92"/>
    <w:rsid w:val="00B47069"/>
    <w:rsid w:val="00B47C66"/>
    <w:rsid w:val="00B51B61"/>
    <w:rsid w:val="00B55776"/>
    <w:rsid w:val="00B57A5A"/>
    <w:rsid w:val="00B60386"/>
    <w:rsid w:val="00B60C28"/>
    <w:rsid w:val="00B6285F"/>
    <w:rsid w:val="00B640F5"/>
    <w:rsid w:val="00B65AEC"/>
    <w:rsid w:val="00B66E1D"/>
    <w:rsid w:val="00B81310"/>
    <w:rsid w:val="00B81786"/>
    <w:rsid w:val="00B82D30"/>
    <w:rsid w:val="00B830BF"/>
    <w:rsid w:val="00B84C51"/>
    <w:rsid w:val="00B8501C"/>
    <w:rsid w:val="00B9126C"/>
    <w:rsid w:val="00B920DC"/>
    <w:rsid w:val="00B92102"/>
    <w:rsid w:val="00B930E4"/>
    <w:rsid w:val="00B94F3E"/>
    <w:rsid w:val="00B9527A"/>
    <w:rsid w:val="00B95545"/>
    <w:rsid w:val="00BA746E"/>
    <w:rsid w:val="00BB10F5"/>
    <w:rsid w:val="00BB737E"/>
    <w:rsid w:val="00BC0E98"/>
    <w:rsid w:val="00BC2ED1"/>
    <w:rsid w:val="00BC506A"/>
    <w:rsid w:val="00BC6E93"/>
    <w:rsid w:val="00BC7962"/>
    <w:rsid w:val="00BD383F"/>
    <w:rsid w:val="00BD3ACB"/>
    <w:rsid w:val="00BD434E"/>
    <w:rsid w:val="00BD5516"/>
    <w:rsid w:val="00BE22A9"/>
    <w:rsid w:val="00BF0E1E"/>
    <w:rsid w:val="00BF375A"/>
    <w:rsid w:val="00BF61AA"/>
    <w:rsid w:val="00C00956"/>
    <w:rsid w:val="00C01BBF"/>
    <w:rsid w:val="00C05271"/>
    <w:rsid w:val="00C05F49"/>
    <w:rsid w:val="00C144DE"/>
    <w:rsid w:val="00C15502"/>
    <w:rsid w:val="00C20513"/>
    <w:rsid w:val="00C20EF1"/>
    <w:rsid w:val="00C26B72"/>
    <w:rsid w:val="00C279B5"/>
    <w:rsid w:val="00C3116F"/>
    <w:rsid w:val="00C31EEE"/>
    <w:rsid w:val="00C40D83"/>
    <w:rsid w:val="00C40E7F"/>
    <w:rsid w:val="00C45DF6"/>
    <w:rsid w:val="00C46537"/>
    <w:rsid w:val="00C51385"/>
    <w:rsid w:val="00C51B63"/>
    <w:rsid w:val="00C52F60"/>
    <w:rsid w:val="00C542FE"/>
    <w:rsid w:val="00C54591"/>
    <w:rsid w:val="00C55842"/>
    <w:rsid w:val="00C56446"/>
    <w:rsid w:val="00C60C2D"/>
    <w:rsid w:val="00C62469"/>
    <w:rsid w:val="00C63819"/>
    <w:rsid w:val="00C63CD9"/>
    <w:rsid w:val="00C65B9C"/>
    <w:rsid w:val="00C71023"/>
    <w:rsid w:val="00C713CD"/>
    <w:rsid w:val="00C722EB"/>
    <w:rsid w:val="00C72AA3"/>
    <w:rsid w:val="00C77732"/>
    <w:rsid w:val="00C800E8"/>
    <w:rsid w:val="00C82977"/>
    <w:rsid w:val="00C82A21"/>
    <w:rsid w:val="00C90F4D"/>
    <w:rsid w:val="00C94671"/>
    <w:rsid w:val="00C94EEA"/>
    <w:rsid w:val="00C9569D"/>
    <w:rsid w:val="00CA057D"/>
    <w:rsid w:val="00CA1F0A"/>
    <w:rsid w:val="00CA382F"/>
    <w:rsid w:val="00CB1E27"/>
    <w:rsid w:val="00CB7E13"/>
    <w:rsid w:val="00CC0323"/>
    <w:rsid w:val="00CC1486"/>
    <w:rsid w:val="00CC3511"/>
    <w:rsid w:val="00CC79F4"/>
    <w:rsid w:val="00CD0C6C"/>
    <w:rsid w:val="00CD0F06"/>
    <w:rsid w:val="00CD5B3B"/>
    <w:rsid w:val="00CD631B"/>
    <w:rsid w:val="00CE1717"/>
    <w:rsid w:val="00CE2E14"/>
    <w:rsid w:val="00CF10F1"/>
    <w:rsid w:val="00CF306A"/>
    <w:rsid w:val="00D01281"/>
    <w:rsid w:val="00D03953"/>
    <w:rsid w:val="00D04D59"/>
    <w:rsid w:val="00D05F1C"/>
    <w:rsid w:val="00D06E9C"/>
    <w:rsid w:val="00D07245"/>
    <w:rsid w:val="00D1285C"/>
    <w:rsid w:val="00D25183"/>
    <w:rsid w:val="00D25CF7"/>
    <w:rsid w:val="00D27121"/>
    <w:rsid w:val="00D327AD"/>
    <w:rsid w:val="00D35FAB"/>
    <w:rsid w:val="00D36C54"/>
    <w:rsid w:val="00D431CC"/>
    <w:rsid w:val="00D45018"/>
    <w:rsid w:val="00D454A8"/>
    <w:rsid w:val="00D476B7"/>
    <w:rsid w:val="00D5041D"/>
    <w:rsid w:val="00D5160C"/>
    <w:rsid w:val="00D51E61"/>
    <w:rsid w:val="00D5272A"/>
    <w:rsid w:val="00D53A95"/>
    <w:rsid w:val="00D566BF"/>
    <w:rsid w:val="00D60542"/>
    <w:rsid w:val="00D6243B"/>
    <w:rsid w:val="00D6402E"/>
    <w:rsid w:val="00D66ADB"/>
    <w:rsid w:val="00D673E6"/>
    <w:rsid w:val="00D67652"/>
    <w:rsid w:val="00D71F41"/>
    <w:rsid w:val="00D72DDA"/>
    <w:rsid w:val="00D755EF"/>
    <w:rsid w:val="00D77532"/>
    <w:rsid w:val="00D81306"/>
    <w:rsid w:val="00D832FA"/>
    <w:rsid w:val="00D84478"/>
    <w:rsid w:val="00D84E5F"/>
    <w:rsid w:val="00D86F1D"/>
    <w:rsid w:val="00D90387"/>
    <w:rsid w:val="00D9190B"/>
    <w:rsid w:val="00D92947"/>
    <w:rsid w:val="00D93F53"/>
    <w:rsid w:val="00D95A9C"/>
    <w:rsid w:val="00DA10B8"/>
    <w:rsid w:val="00DA169A"/>
    <w:rsid w:val="00DA5F8B"/>
    <w:rsid w:val="00DB2103"/>
    <w:rsid w:val="00DB3564"/>
    <w:rsid w:val="00DC60D4"/>
    <w:rsid w:val="00DD4831"/>
    <w:rsid w:val="00DE28D8"/>
    <w:rsid w:val="00DE2A8E"/>
    <w:rsid w:val="00DE32B6"/>
    <w:rsid w:val="00DE7755"/>
    <w:rsid w:val="00DF04F9"/>
    <w:rsid w:val="00DF0575"/>
    <w:rsid w:val="00DF2436"/>
    <w:rsid w:val="00DF3E11"/>
    <w:rsid w:val="00DF7B2B"/>
    <w:rsid w:val="00E04E0D"/>
    <w:rsid w:val="00E07965"/>
    <w:rsid w:val="00E14D10"/>
    <w:rsid w:val="00E14D2F"/>
    <w:rsid w:val="00E15075"/>
    <w:rsid w:val="00E15104"/>
    <w:rsid w:val="00E2099A"/>
    <w:rsid w:val="00E219D2"/>
    <w:rsid w:val="00E23DC8"/>
    <w:rsid w:val="00E269E6"/>
    <w:rsid w:val="00E311FA"/>
    <w:rsid w:val="00E349F9"/>
    <w:rsid w:val="00E40581"/>
    <w:rsid w:val="00E412E8"/>
    <w:rsid w:val="00E45D02"/>
    <w:rsid w:val="00E50406"/>
    <w:rsid w:val="00E50979"/>
    <w:rsid w:val="00E532F8"/>
    <w:rsid w:val="00E538C8"/>
    <w:rsid w:val="00E562FC"/>
    <w:rsid w:val="00E61444"/>
    <w:rsid w:val="00E6558F"/>
    <w:rsid w:val="00E67401"/>
    <w:rsid w:val="00E67A74"/>
    <w:rsid w:val="00E70EE2"/>
    <w:rsid w:val="00E71C0E"/>
    <w:rsid w:val="00E758D7"/>
    <w:rsid w:val="00E75DDB"/>
    <w:rsid w:val="00E80D5E"/>
    <w:rsid w:val="00E80F8D"/>
    <w:rsid w:val="00E84EF4"/>
    <w:rsid w:val="00E93CC4"/>
    <w:rsid w:val="00E97E42"/>
    <w:rsid w:val="00EA0F6C"/>
    <w:rsid w:val="00EA1D55"/>
    <w:rsid w:val="00EA3C54"/>
    <w:rsid w:val="00EA3EBF"/>
    <w:rsid w:val="00EA40EF"/>
    <w:rsid w:val="00EB247A"/>
    <w:rsid w:val="00EB5296"/>
    <w:rsid w:val="00EB6ABD"/>
    <w:rsid w:val="00EC1B5F"/>
    <w:rsid w:val="00EC7B6C"/>
    <w:rsid w:val="00EC7E47"/>
    <w:rsid w:val="00ED3BCC"/>
    <w:rsid w:val="00EE32F2"/>
    <w:rsid w:val="00EF60A2"/>
    <w:rsid w:val="00F003C7"/>
    <w:rsid w:val="00F06139"/>
    <w:rsid w:val="00F12AE6"/>
    <w:rsid w:val="00F23EC1"/>
    <w:rsid w:val="00F30363"/>
    <w:rsid w:val="00F31073"/>
    <w:rsid w:val="00F42ECB"/>
    <w:rsid w:val="00F4554D"/>
    <w:rsid w:val="00F465FC"/>
    <w:rsid w:val="00F51808"/>
    <w:rsid w:val="00F5219A"/>
    <w:rsid w:val="00F550BC"/>
    <w:rsid w:val="00F56471"/>
    <w:rsid w:val="00F57D51"/>
    <w:rsid w:val="00F67CFD"/>
    <w:rsid w:val="00F67D20"/>
    <w:rsid w:val="00F72651"/>
    <w:rsid w:val="00F74CE0"/>
    <w:rsid w:val="00F77F30"/>
    <w:rsid w:val="00F805B7"/>
    <w:rsid w:val="00F80CB8"/>
    <w:rsid w:val="00F828E9"/>
    <w:rsid w:val="00F8327F"/>
    <w:rsid w:val="00F8395A"/>
    <w:rsid w:val="00F87327"/>
    <w:rsid w:val="00F8749C"/>
    <w:rsid w:val="00F877C7"/>
    <w:rsid w:val="00F87A0C"/>
    <w:rsid w:val="00F87E3D"/>
    <w:rsid w:val="00FA2B85"/>
    <w:rsid w:val="00FA3DA4"/>
    <w:rsid w:val="00FA6752"/>
    <w:rsid w:val="00FA7222"/>
    <w:rsid w:val="00FB324C"/>
    <w:rsid w:val="00FB6D27"/>
    <w:rsid w:val="00FC0C7A"/>
    <w:rsid w:val="00FC308A"/>
    <w:rsid w:val="00FC4284"/>
    <w:rsid w:val="00FC459F"/>
    <w:rsid w:val="00FD3728"/>
    <w:rsid w:val="00FD3C0A"/>
    <w:rsid w:val="00FD3CB7"/>
    <w:rsid w:val="00FD4578"/>
    <w:rsid w:val="00FD48C3"/>
    <w:rsid w:val="00FD7204"/>
    <w:rsid w:val="00FD755E"/>
    <w:rsid w:val="00FE05E4"/>
    <w:rsid w:val="00FE1207"/>
    <w:rsid w:val="00FE2F2C"/>
    <w:rsid w:val="00FE5D25"/>
    <w:rsid w:val="00FF554B"/>
    <w:rsid w:val="00FF7BDA"/>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01FA83"/>
  <w14:defaultImageDpi w14:val="33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lang w:val="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aliases w:val="fn,Footnotes,Footnote ak,fn Char,footnote text Char,Footnotes Char,Footnote ak Char,ft,fn cafc,Footnotes Char Char,Footnote Text Char Char,fn Char Char,footnote text Char Char Char Ch,Footnote Text Char1,Char Char Char,ft2,Char,f,Car"/>
    <w:basedOn w:val="Normal"/>
    <w:link w:val="FootnoteTextChar"/>
    <w:uiPriority w:val="99"/>
    <w:unhideWhenUsed/>
    <w:qFormat/>
    <w:rsid w:val="003E750E"/>
    <w:pPr>
      <w:spacing w:after="0"/>
      <w:ind w:left="0"/>
    </w:pPr>
    <w:rPr>
      <w:sz w:val="16"/>
      <w:szCs w:val="20"/>
    </w:rPr>
  </w:style>
  <w:style w:type="character" w:customStyle="1" w:styleId="FootnoteTextChar">
    <w:name w:val="Footnote Text Char"/>
    <w:aliases w:val="fn Char1,Footnotes Char1,Footnote ak Char1,fn Char Char1,footnote text Char Char,Footnotes Char Char1,Footnote ak Char Char,ft Char,fn cafc Char,Footnotes Char Char Char,Footnote Text Char Char Char,fn Char Char Char,ft2 Char,f Char"/>
    <w:basedOn w:val="DefaultParagraphFont"/>
    <w:link w:val="FootnoteText"/>
    <w:uiPriority w:val="99"/>
    <w:qFormat/>
    <w:rsid w:val="003E750E"/>
    <w:rPr>
      <w:rFonts w:ascii="Trebuchet MS" w:hAnsi="Trebuchet MS"/>
      <w:sz w:val="16"/>
    </w:rPr>
  </w:style>
  <w:style w:type="character" w:styleId="FootnoteReference">
    <w:name w:val="footnote reference"/>
    <w:aliases w:val="Footnote symbol,Footnote Reference Number,Footnote Reference Superscript,Footnote,Voetnootverwijzing,Times 10 Point,Exposant 3 Point,fr,Ref,de nota al pie,Char Char6 Char Char Char Char Char Char Char Char Char Char Char Char,註腳"/>
    <w:basedOn w:val="DefaultParagraphFont"/>
    <w:link w:val="ftrefCharCharCharCharCharCharCharCharChar"/>
    <w:uiPriority w:val="99"/>
    <w:unhideWhenUsed/>
    <w:qFormat/>
    <w:rsid w:val="00A65CE5"/>
    <w:rPr>
      <w:vertAlign w:val="superscript"/>
    </w:rPr>
  </w:style>
  <w:style w:type="paragraph" w:styleId="ListParagraph">
    <w:name w:val="List Paragraph"/>
    <w:aliases w:val="Normal bullet 2,List Paragraph1"/>
    <w:basedOn w:val="Normal"/>
    <w:uiPriority w:val="34"/>
    <w:qFormat/>
    <w:rsid w:val="007B5F53"/>
    <w:pPr>
      <w:ind w:left="720"/>
      <w:contextualSpacing/>
    </w:pPr>
  </w:style>
  <w:style w:type="character" w:customStyle="1" w:styleId="l5def1">
    <w:name w:val="l5def1"/>
    <w:basedOn w:val="DefaultParagraphFont"/>
    <w:rsid w:val="005F66A5"/>
    <w:rPr>
      <w:rFonts w:ascii="Arial" w:hAnsi="Arial" w:cs="Arial" w:hint="default"/>
      <w:color w:val="000000"/>
      <w:sz w:val="26"/>
      <w:szCs w:val="26"/>
    </w:rPr>
  </w:style>
  <w:style w:type="character" w:customStyle="1" w:styleId="Other">
    <w:name w:val="Other_"/>
    <w:link w:val="Other0"/>
    <w:rsid w:val="00A62CD5"/>
    <w:rPr>
      <w:rFonts w:ascii="Arial" w:eastAsia="Arial" w:hAnsi="Arial" w:cs="Arial"/>
      <w:sz w:val="22"/>
      <w:szCs w:val="22"/>
      <w:shd w:val="clear" w:color="auto" w:fill="FFFFFF"/>
    </w:rPr>
  </w:style>
  <w:style w:type="paragraph" w:customStyle="1" w:styleId="Other0">
    <w:name w:val="Other"/>
    <w:basedOn w:val="Normal"/>
    <w:link w:val="Other"/>
    <w:rsid w:val="00A62CD5"/>
    <w:pPr>
      <w:widowControl w:val="0"/>
      <w:shd w:val="clear" w:color="auto" w:fill="FFFFFF"/>
      <w:spacing w:after="60" w:line="254" w:lineRule="auto"/>
      <w:ind w:left="0"/>
      <w:jc w:val="left"/>
    </w:pPr>
    <w:rPr>
      <w:rFonts w:ascii="Arial" w:eastAsia="Arial" w:hAnsi="Arial" w:cs="Arial"/>
      <w:lang w:val="en-US"/>
    </w:rPr>
  </w:style>
  <w:style w:type="paragraph" w:customStyle="1" w:styleId="Style6">
    <w:name w:val="Style6"/>
    <w:basedOn w:val="Normal"/>
    <w:uiPriority w:val="99"/>
    <w:rsid w:val="00751C15"/>
    <w:pPr>
      <w:widowControl w:val="0"/>
      <w:autoSpaceDE w:val="0"/>
      <w:autoSpaceDN w:val="0"/>
      <w:adjustRightInd w:val="0"/>
      <w:spacing w:after="0" w:line="271" w:lineRule="exact"/>
      <w:ind w:left="0" w:firstLine="302"/>
      <w:jc w:val="left"/>
    </w:pPr>
    <w:rPr>
      <w:rFonts w:eastAsiaTheme="minorEastAsia" w:cstheme="minorBidi"/>
      <w:sz w:val="24"/>
      <w:szCs w:val="24"/>
      <w:lang w:eastAsia="ro-RO"/>
    </w:rPr>
  </w:style>
  <w:style w:type="character" w:customStyle="1" w:styleId="FontStyle15">
    <w:name w:val="Font Style15"/>
    <w:basedOn w:val="DefaultParagraphFont"/>
    <w:uiPriority w:val="99"/>
    <w:rsid w:val="00751C15"/>
    <w:rPr>
      <w:rFonts w:ascii="Trebuchet MS" w:hAnsi="Trebuchet MS" w:cs="Trebuchet MS"/>
      <w:sz w:val="22"/>
      <w:szCs w:val="22"/>
    </w:rPr>
  </w:style>
  <w:style w:type="character" w:customStyle="1" w:styleId="FontStyle11">
    <w:name w:val="Font Style11"/>
    <w:basedOn w:val="DefaultParagraphFont"/>
    <w:uiPriority w:val="99"/>
    <w:rsid w:val="00751C15"/>
    <w:rPr>
      <w:rFonts w:ascii="Trebuchet MS" w:hAnsi="Trebuchet MS" w:cs="Trebuchet MS"/>
      <w:sz w:val="22"/>
      <w:szCs w:val="22"/>
    </w:rPr>
  </w:style>
  <w:style w:type="character" w:customStyle="1" w:styleId="l5def2">
    <w:name w:val="l5def2"/>
    <w:rsid w:val="0081718E"/>
    <w:rPr>
      <w:rFonts w:ascii="Arial" w:hAnsi="Arial" w:cs="Arial" w:hint="default"/>
      <w:color w:val="000000"/>
      <w:sz w:val="26"/>
      <w:szCs w:val="26"/>
    </w:rPr>
  </w:style>
  <w:style w:type="character" w:customStyle="1" w:styleId="l5tlu1">
    <w:name w:val="l5tlu1"/>
    <w:rsid w:val="002F244C"/>
    <w:rPr>
      <w:b/>
      <w:bCs/>
      <w:color w:val="000000"/>
      <w:sz w:val="32"/>
      <w:szCs w:val="32"/>
    </w:rPr>
  </w:style>
  <w:style w:type="paragraph" w:styleId="NormalWeb">
    <w:name w:val="Normal (Web)"/>
    <w:basedOn w:val="Normal"/>
    <w:uiPriority w:val="99"/>
    <w:unhideWhenUsed/>
    <w:rsid w:val="00F805B7"/>
    <w:pPr>
      <w:spacing w:before="100" w:beforeAutospacing="1" w:after="100" w:afterAutospacing="1" w:line="240" w:lineRule="auto"/>
      <w:ind w:left="0"/>
      <w:jc w:val="left"/>
    </w:pPr>
    <w:rPr>
      <w:rFonts w:ascii="Times New Roman" w:eastAsia="Times New Roman" w:hAnsi="Times New Roman"/>
      <w:sz w:val="24"/>
      <w:szCs w:val="24"/>
      <w:lang w:val="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74CE0"/>
    <w:pPr>
      <w:spacing w:after="160" w:line="240" w:lineRule="exact"/>
      <w:ind w:left="0"/>
    </w:pPr>
    <w:rPr>
      <w:rFonts w:ascii="Cambria" w:hAnsi="Cambria"/>
      <w:sz w:val="20"/>
      <w:szCs w:val="20"/>
      <w:vertAlign w:val="superscript"/>
      <w:lang w:val="en-US"/>
    </w:rPr>
  </w:style>
  <w:style w:type="paragraph" w:customStyle="1" w:styleId="Default">
    <w:name w:val="Default"/>
    <w:rsid w:val="00F74CE0"/>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C71023"/>
    <w:rPr>
      <w:color w:val="605E5C"/>
      <w:shd w:val="clear" w:color="auto" w:fill="E1DFDD"/>
    </w:rPr>
  </w:style>
  <w:style w:type="character" w:customStyle="1" w:styleId="rvts4">
    <w:name w:val="rvts4"/>
    <w:basedOn w:val="DefaultParagraphFont"/>
    <w:rsid w:val="008E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382666">
      <w:bodyDiv w:val="1"/>
      <w:marLeft w:val="0"/>
      <w:marRight w:val="0"/>
      <w:marTop w:val="0"/>
      <w:marBottom w:val="0"/>
      <w:divBdr>
        <w:top w:val="none" w:sz="0" w:space="0" w:color="auto"/>
        <w:left w:val="none" w:sz="0" w:space="0" w:color="auto"/>
        <w:bottom w:val="none" w:sz="0" w:space="0" w:color="auto"/>
        <w:right w:val="none" w:sz="0" w:space="0" w:color="auto"/>
      </w:divBdr>
    </w:div>
    <w:div w:id="1110009420">
      <w:bodyDiv w:val="1"/>
      <w:marLeft w:val="0"/>
      <w:marRight w:val="0"/>
      <w:marTop w:val="0"/>
      <w:marBottom w:val="0"/>
      <w:divBdr>
        <w:top w:val="none" w:sz="0" w:space="0" w:color="auto"/>
        <w:left w:val="none" w:sz="0" w:space="0" w:color="auto"/>
        <w:bottom w:val="none" w:sz="0" w:space="0" w:color="auto"/>
        <w:right w:val="none" w:sz="0" w:space="0" w:color="auto"/>
      </w:divBdr>
    </w:div>
    <w:div w:id="181675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qid=1602582109481&amp;uri=CELEX%3A52020SC03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t.r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8026F-9E0C-4A1C-9475-AEEE54DA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6</TotalTime>
  <Pages>17</Pages>
  <Words>5904</Words>
  <Characters>33654</Characters>
  <DocSecurity>0</DocSecurity>
  <Lines>280</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39480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2022-01-14T10:51:00Z</cp:lastPrinted>
  <dcterms:created xsi:type="dcterms:W3CDTF">2022-01-21T07:34:00Z</dcterms:created>
  <dcterms:modified xsi:type="dcterms:W3CDTF">2022-01-21T07:42:00Z</dcterms:modified>
</cp:coreProperties>
</file>