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66" w:rsidRPr="00CB23A7" w:rsidRDefault="00A65D66" w:rsidP="006460D9">
      <w:pPr>
        <w:spacing w:line="276" w:lineRule="auto"/>
        <w:jc w:val="center"/>
        <w:rPr>
          <w:rFonts w:ascii="Trebuchet MS" w:hAnsi="Trebuchet MS"/>
          <w:b/>
          <w:snapToGrid w:val="0"/>
          <w:sz w:val="22"/>
          <w:szCs w:val="22"/>
          <w:lang w:val="ro-RO"/>
        </w:rPr>
      </w:pPr>
    </w:p>
    <w:p w:rsidR="00A65D66" w:rsidRPr="00CB23A7" w:rsidRDefault="00682D39" w:rsidP="006460D9">
      <w:pPr>
        <w:spacing w:line="276" w:lineRule="auto"/>
        <w:jc w:val="center"/>
        <w:rPr>
          <w:rFonts w:ascii="Trebuchet MS" w:hAnsi="Trebuchet MS"/>
          <w:b/>
          <w:snapToGrid w:val="0"/>
          <w:sz w:val="22"/>
          <w:szCs w:val="22"/>
          <w:lang w:val="ro-RO"/>
        </w:rPr>
      </w:pPr>
      <w:r w:rsidRPr="00CB23A7">
        <w:rPr>
          <w:rFonts w:ascii="Trebuchet MS" w:hAnsi="Trebuchet MS"/>
          <w:b/>
          <w:snapToGrid w:val="0"/>
          <w:sz w:val="22"/>
          <w:szCs w:val="22"/>
          <w:lang w:val="ro-RO"/>
        </w:rPr>
        <w:t>EXPUNERE DE MOTIVE</w:t>
      </w:r>
    </w:p>
    <w:p w:rsidR="00682D39" w:rsidRPr="00CB23A7" w:rsidRDefault="00682D39" w:rsidP="006460D9">
      <w:pPr>
        <w:spacing w:line="276" w:lineRule="auto"/>
        <w:rPr>
          <w:rFonts w:ascii="Trebuchet MS" w:hAnsi="Trebuchet MS"/>
          <w:b/>
          <w:snapToGrid w:val="0"/>
          <w:sz w:val="22"/>
          <w:szCs w:val="22"/>
          <w:lang w:val="ro-RO"/>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1208"/>
      </w:tblGrid>
      <w:tr w:rsidR="008B516A" w:rsidRPr="00CB23A7" w:rsidTr="00346997">
        <w:trPr>
          <w:cantSplit/>
          <w:trHeight w:val="950"/>
        </w:trPr>
        <w:tc>
          <w:tcPr>
            <w:tcW w:w="11199" w:type="dxa"/>
            <w:gridSpan w:val="8"/>
          </w:tcPr>
          <w:p w:rsidR="00682D39" w:rsidRPr="00CB23A7" w:rsidRDefault="00682D39" w:rsidP="006460D9">
            <w:pPr>
              <w:spacing w:line="276" w:lineRule="auto"/>
              <w:jc w:val="center"/>
              <w:rPr>
                <w:rFonts w:ascii="Trebuchet MS" w:hAnsi="Trebuchet MS"/>
                <w:b/>
                <w:snapToGrid w:val="0"/>
                <w:sz w:val="22"/>
                <w:szCs w:val="22"/>
                <w:lang w:val="ro-RO"/>
              </w:rPr>
            </w:pPr>
            <w:r w:rsidRPr="00CB23A7">
              <w:rPr>
                <w:rFonts w:ascii="Trebuchet MS" w:hAnsi="Trebuchet MS"/>
                <w:b/>
                <w:snapToGrid w:val="0"/>
                <w:sz w:val="22"/>
                <w:szCs w:val="22"/>
                <w:lang w:val="ro-RO"/>
              </w:rPr>
              <w:t>Secţiunea 1 – Titlul proiectului de act normativ</w:t>
            </w:r>
          </w:p>
          <w:p w:rsidR="00ED5CA9" w:rsidRPr="00CB23A7" w:rsidRDefault="00ED5CA9" w:rsidP="006460D9">
            <w:pPr>
              <w:spacing w:line="276" w:lineRule="auto"/>
              <w:jc w:val="center"/>
              <w:rPr>
                <w:rFonts w:ascii="Trebuchet MS" w:hAnsi="Trebuchet MS"/>
                <w:b/>
                <w:snapToGrid w:val="0"/>
                <w:sz w:val="22"/>
                <w:szCs w:val="22"/>
                <w:lang w:val="ro-RO"/>
              </w:rPr>
            </w:pPr>
          </w:p>
          <w:p w:rsidR="00ED5CA9" w:rsidRPr="00CB23A7" w:rsidRDefault="00ED5CA9" w:rsidP="006460D9">
            <w:pPr>
              <w:spacing w:line="276" w:lineRule="auto"/>
              <w:ind w:firstLine="567"/>
              <w:jc w:val="center"/>
              <w:rPr>
                <w:rFonts w:ascii="Trebuchet MS" w:hAnsi="Trebuchet MS"/>
                <w:b/>
                <w:bCs/>
                <w:sz w:val="22"/>
                <w:szCs w:val="22"/>
                <w:lang w:val="ro-RO"/>
              </w:rPr>
            </w:pPr>
            <w:r w:rsidRPr="00CB23A7">
              <w:rPr>
                <w:rFonts w:ascii="Trebuchet MS" w:hAnsi="Trebuchet MS"/>
                <w:b/>
                <w:bCs/>
                <w:sz w:val="22"/>
                <w:szCs w:val="22"/>
                <w:lang w:val="ro-RO"/>
              </w:rPr>
              <w:t>Lege</w:t>
            </w:r>
          </w:p>
          <w:p w:rsidR="004040DA" w:rsidRPr="00CB23A7" w:rsidRDefault="006D6173" w:rsidP="006460D9">
            <w:pPr>
              <w:spacing w:line="276" w:lineRule="auto"/>
              <w:ind w:firstLine="567"/>
              <w:jc w:val="center"/>
              <w:rPr>
                <w:rFonts w:ascii="Trebuchet MS" w:hAnsi="Trebuchet MS"/>
                <w:b/>
                <w:sz w:val="22"/>
                <w:szCs w:val="22"/>
                <w:lang w:val="ro-RO"/>
              </w:rPr>
            </w:pPr>
            <w:r w:rsidRPr="00CB23A7">
              <w:rPr>
                <w:rFonts w:ascii="Trebuchet MS" w:hAnsi="Trebuchet MS"/>
                <w:b/>
                <w:bCs/>
                <w:sz w:val="22"/>
                <w:szCs w:val="22"/>
                <w:lang w:val="ro-RO"/>
              </w:rPr>
              <w:t>privind organizarea judiciară</w:t>
            </w:r>
          </w:p>
          <w:p w:rsidR="00A65D66" w:rsidRPr="00CB23A7" w:rsidRDefault="00A65D66" w:rsidP="006460D9">
            <w:pPr>
              <w:spacing w:line="276" w:lineRule="auto"/>
              <w:ind w:firstLine="567"/>
              <w:jc w:val="center"/>
              <w:rPr>
                <w:rFonts w:ascii="Trebuchet MS" w:hAnsi="Trebuchet MS"/>
                <w:b/>
                <w:sz w:val="22"/>
                <w:szCs w:val="22"/>
                <w:lang w:val="ro-RO"/>
              </w:rPr>
            </w:pPr>
          </w:p>
        </w:tc>
      </w:tr>
      <w:tr w:rsidR="008B516A" w:rsidRPr="00CB23A7" w:rsidTr="00346997">
        <w:trPr>
          <w:cantSplit/>
          <w:trHeight w:val="468"/>
        </w:trPr>
        <w:tc>
          <w:tcPr>
            <w:tcW w:w="11199" w:type="dxa"/>
            <w:gridSpan w:val="8"/>
          </w:tcPr>
          <w:p w:rsidR="00A65D66" w:rsidRPr="00CB23A7" w:rsidRDefault="00A65D66" w:rsidP="006460D9">
            <w:pPr>
              <w:spacing w:line="276" w:lineRule="auto"/>
              <w:rPr>
                <w:rFonts w:ascii="Trebuchet MS" w:hAnsi="Trebuchet MS"/>
                <w:b/>
                <w:snapToGrid w:val="0"/>
                <w:sz w:val="22"/>
                <w:szCs w:val="22"/>
                <w:lang w:val="ro-RO"/>
              </w:rPr>
            </w:pPr>
          </w:p>
          <w:p w:rsidR="00682D39" w:rsidRPr="00CB23A7" w:rsidRDefault="00682D39" w:rsidP="006460D9">
            <w:pPr>
              <w:spacing w:line="276" w:lineRule="auto"/>
              <w:rPr>
                <w:rFonts w:ascii="Trebuchet MS" w:hAnsi="Trebuchet MS"/>
                <w:b/>
                <w:snapToGrid w:val="0"/>
                <w:sz w:val="22"/>
                <w:szCs w:val="22"/>
                <w:lang w:val="ro-RO"/>
              </w:rPr>
            </w:pPr>
            <w:r w:rsidRPr="00CB23A7">
              <w:rPr>
                <w:rFonts w:ascii="Trebuchet MS" w:hAnsi="Trebuchet MS"/>
                <w:b/>
                <w:snapToGrid w:val="0"/>
                <w:sz w:val="22"/>
                <w:szCs w:val="22"/>
                <w:lang w:val="ro-RO"/>
              </w:rPr>
              <w:t>Secţiunea a 2-a – Motivul emiterii actului normativ</w:t>
            </w:r>
          </w:p>
        </w:tc>
      </w:tr>
      <w:tr w:rsidR="008B516A" w:rsidRPr="00803353" w:rsidTr="00346997">
        <w:tc>
          <w:tcPr>
            <w:tcW w:w="3970" w:type="dxa"/>
            <w:tcBorders>
              <w:right w:val="single" w:sz="4" w:space="0" w:color="auto"/>
            </w:tcBorders>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 xml:space="preserve">1. Descrierea </w:t>
            </w:r>
            <w:r w:rsidR="00911330" w:rsidRPr="00CB23A7">
              <w:rPr>
                <w:rFonts w:ascii="Trebuchet MS" w:hAnsi="Trebuchet MS"/>
                <w:snapToGrid w:val="0"/>
                <w:sz w:val="22"/>
                <w:szCs w:val="22"/>
                <w:lang w:val="ro-RO"/>
              </w:rPr>
              <w:t>situației</w:t>
            </w:r>
            <w:r w:rsidRPr="00CB23A7">
              <w:rPr>
                <w:rFonts w:ascii="Trebuchet MS" w:hAnsi="Trebuchet MS"/>
                <w:snapToGrid w:val="0"/>
                <w:sz w:val="22"/>
                <w:szCs w:val="22"/>
                <w:lang w:val="ro-RO"/>
              </w:rPr>
              <w:t xml:space="preserve"> actuale </w:t>
            </w:r>
          </w:p>
        </w:tc>
        <w:tc>
          <w:tcPr>
            <w:tcW w:w="7229" w:type="dxa"/>
            <w:gridSpan w:val="7"/>
            <w:tcBorders>
              <w:top w:val="single" w:sz="4" w:space="0" w:color="auto"/>
              <w:left w:val="single" w:sz="4" w:space="0" w:color="auto"/>
              <w:bottom w:val="single" w:sz="4" w:space="0" w:color="auto"/>
              <w:right w:val="single" w:sz="4" w:space="0" w:color="auto"/>
            </w:tcBorders>
          </w:tcPr>
          <w:p w:rsidR="006D6173" w:rsidRPr="00CB23A7" w:rsidRDefault="00911330" w:rsidP="006460D9">
            <w:pPr>
              <w:autoSpaceDE w:val="0"/>
              <w:autoSpaceDN w:val="0"/>
              <w:adjustRightInd w:val="0"/>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 </w:t>
            </w:r>
            <w:r w:rsidR="005263C5" w:rsidRPr="00CB23A7">
              <w:rPr>
                <w:rFonts w:ascii="Trebuchet MS" w:hAnsi="Trebuchet MS"/>
                <w:sz w:val="22"/>
                <w:szCs w:val="22"/>
                <w:lang w:val="ro-RO"/>
              </w:rPr>
              <w:t xml:space="preserve">Cadrul normativ actual care reglementează </w:t>
            </w:r>
            <w:r w:rsidR="006D6173" w:rsidRPr="00CB23A7">
              <w:rPr>
                <w:rFonts w:ascii="Trebuchet MS" w:hAnsi="Trebuchet MS"/>
                <w:sz w:val="22"/>
                <w:szCs w:val="22"/>
                <w:lang w:val="ro-RO"/>
              </w:rPr>
              <w:t>organizarea judiciară</w:t>
            </w:r>
            <w:r w:rsidR="005263C5" w:rsidRPr="00CB23A7">
              <w:rPr>
                <w:rFonts w:ascii="Trebuchet MS" w:hAnsi="Trebuchet MS"/>
                <w:sz w:val="22"/>
                <w:szCs w:val="22"/>
                <w:lang w:val="ro-RO"/>
              </w:rPr>
              <w:t xml:space="preserve"> este reprezentat de Legea nr. 30</w:t>
            </w:r>
            <w:r w:rsidR="006D6173" w:rsidRPr="00CB23A7">
              <w:rPr>
                <w:rFonts w:ascii="Trebuchet MS" w:hAnsi="Trebuchet MS"/>
                <w:sz w:val="22"/>
                <w:szCs w:val="22"/>
                <w:lang w:val="ro-RO"/>
              </w:rPr>
              <w:t>4</w:t>
            </w:r>
            <w:r w:rsidR="005263C5" w:rsidRPr="00CB23A7">
              <w:rPr>
                <w:rFonts w:ascii="Trebuchet MS" w:hAnsi="Trebuchet MS"/>
                <w:sz w:val="22"/>
                <w:szCs w:val="22"/>
                <w:lang w:val="ro-RO"/>
              </w:rPr>
              <w:t xml:space="preserve">/2004 privind </w:t>
            </w:r>
            <w:r w:rsidR="006D6173" w:rsidRPr="00CB23A7">
              <w:rPr>
                <w:rFonts w:ascii="Trebuchet MS" w:hAnsi="Trebuchet MS"/>
                <w:sz w:val="22"/>
                <w:szCs w:val="22"/>
                <w:lang w:val="ro-RO"/>
              </w:rPr>
              <w:t>organizarea judiciară</w:t>
            </w:r>
            <w:r w:rsidR="005263C5" w:rsidRPr="00CB23A7">
              <w:rPr>
                <w:rFonts w:ascii="Trebuchet MS" w:hAnsi="Trebuchet MS"/>
                <w:sz w:val="22"/>
                <w:szCs w:val="22"/>
                <w:lang w:val="ro-RO"/>
              </w:rPr>
              <w:t xml:space="preserve">, republicată, cu modificările și completările ulterioare. </w:t>
            </w:r>
            <w:r w:rsidR="00EB0E99" w:rsidRPr="00CB23A7">
              <w:rPr>
                <w:rFonts w:ascii="Trebuchet MS" w:hAnsi="Trebuchet MS"/>
                <w:sz w:val="22"/>
                <w:szCs w:val="22"/>
                <w:lang w:val="ro-RO"/>
              </w:rPr>
              <w:t>Această lege a suferit, de la adoptare până în pre</w:t>
            </w:r>
            <w:r w:rsidR="00C13BD0" w:rsidRPr="00CB23A7">
              <w:rPr>
                <w:rFonts w:ascii="Trebuchet MS" w:hAnsi="Trebuchet MS"/>
                <w:sz w:val="22"/>
                <w:szCs w:val="22"/>
                <w:lang w:val="ro-RO"/>
              </w:rPr>
              <w:t>z</w:t>
            </w:r>
            <w:r w:rsidR="00EB0E99" w:rsidRPr="00CB23A7">
              <w:rPr>
                <w:rFonts w:ascii="Trebuchet MS" w:hAnsi="Trebuchet MS"/>
                <w:sz w:val="22"/>
                <w:szCs w:val="22"/>
                <w:lang w:val="ro-RO"/>
              </w:rPr>
              <w:t xml:space="preserve">ent, numeroase modificări şi completări care au </w:t>
            </w:r>
            <w:r w:rsidR="008D2BA0" w:rsidRPr="00CB23A7">
              <w:rPr>
                <w:rFonts w:ascii="Trebuchet MS" w:hAnsi="Trebuchet MS"/>
                <w:sz w:val="22"/>
                <w:szCs w:val="22"/>
                <w:lang w:val="ro-RO"/>
              </w:rPr>
              <w:t>creat</w:t>
            </w:r>
            <w:r w:rsidR="00696561" w:rsidRPr="00CB23A7">
              <w:rPr>
                <w:rFonts w:ascii="Trebuchet MS" w:hAnsi="Trebuchet MS"/>
                <w:sz w:val="22"/>
                <w:szCs w:val="22"/>
                <w:lang w:val="ro-RO"/>
              </w:rPr>
              <w:t xml:space="preserve"> fie</w:t>
            </w:r>
            <w:r w:rsidR="008D2BA0" w:rsidRPr="00CB23A7">
              <w:rPr>
                <w:rFonts w:ascii="Trebuchet MS" w:hAnsi="Trebuchet MS"/>
                <w:sz w:val="22"/>
                <w:szCs w:val="22"/>
                <w:lang w:val="ro-RO"/>
              </w:rPr>
              <w:t xml:space="preserve"> disfuncţionalităţi, fie neclarităţi în aspect</w:t>
            </w:r>
            <w:r w:rsidR="00C13BD0" w:rsidRPr="00CB23A7">
              <w:rPr>
                <w:rFonts w:ascii="Trebuchet MS" w:hAnsi="Trebuchet MS"/>
                <w:sz w:val="22"/>
                <w:szCs w:val="22"/>
                <w:lang w:val="ro-RO"/>
              </w:rPr>
              <w:t>e</w:t>
            </w:r>
            <w:r w:rsidR="008D2BA0" w:rsidRPr="00CB23A7">
              <w:rPr>
                <w:rFonts w:ascii="Trebuchet MS" w:hAnsi="Trebuchet MS"/>
                <w:sz w:val="22"/>
                <w:szCs w:val="22"/>
                <w:lang w:val="ro-RO"/>
              </w:rPr>
              <w:t xml:space="preserve"> esenţiale care privesc sistemul judiciar.</w:t>
            </w:r>
            <w:r w:rsidR="00FE7D63" w:rsidRPr="00CB23A7">
              <w:rPr>
                <w:rFonts w:ascii="Trebuchet MS" w:hAnsi="Trebuchet MS"/>
                <w:sz w:val="22"/>
                <w:szCs w:val="22"/>
                <w:lang w:val="ro-RO"/>
              </w:rPr>
              <w:t xml:space="preserve"> </w:t>
            </w:r>
          </w:p>
          <w:p w:rsidR="006D6173" w:rsidRPr="00CB23A7" w:rsidRDefault="00FE7D63" w:rsidP="006460D9">
            <w:pPr>
              <w:autoSpaceDE w:val="0"/>
              <w:autoSpaceDN w:val="0"/>
              <w:adjustRightInd w:val="0"/>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De asemenea, </w:t>
            </w:r>
            <w:r w:rsidR="006D6173" w:rsidRPr="00CB23A7">
              <w:rPr>
                <w:rFonts w:ascii="Trebuchet MS" w:hAnsi="Trebuchet MS"/>
                <w:sz w:val="22"/>
                <w:szCs w:val="22"/>
                <w:lang w:val="ro-RO"/>
              </w:rPr>
              <w:t>în anii 2018 și 2019, prin Legea nr. 207/2018 și prin mai multe de ordonanțe de urgență promovate de Guvernul de la acea dată, Legea nr. 304/2004 a fost supus</w:t>
            </w:r>
            <w:r w:rsidR="00D44CC3" w:rsidRPr="00CB23A7">
              <w:rPr>
                <w:rFonts w:ascii="Trebuchet MS" w:hAnsi="Trebuchet MS"/>
                <w:sz w:val="22"/>
                <w:szCs w:val="22"/>
                <w:lang w:val="ro-RO"/>
              </w:rPr>
              <w:t>ă</w:t>
            </w:r>
            <w:r w:rsidR="006D6173" w:rsidRPr="00CB23A7">
              <w:rPr>
                <w:rFonts w:ascii="Trebuchet MS" w:hAnsi="Trebuchet MS"/>
                <w:sz w:val="22"/>
                <w:szCs w:val="22"/>
                <w:lang w:val="ro-RO"/>
              </w:rPr>
              <w:t xml:space="preserve"> unui proces major de modificare și completare, o serie de </w:t>
            </w:r>
            <w:r w:rsidR="0022668D" w:rsidRPr="00CB23A7">
              <w:rPr>
                <w:rFonts w:ascii="Trebuchet MS" w:hAnsi="Trebuchet MS"/>
                <w:sz w:val="22"/>
                <w:szCs w:val="22"/>
                <w:lang w:val="ro-RO"/>
              </w:rPr>
              <w:t>intervenții</w:t>
            </w:r>
            <w:r w:rsidR="006D6173" w:rsidRPr="00CB23A7">
              <w:rPr>
                <w:rFonts w:ascii="Trebuchet MS" w:hAnsi="Trebuchet MS"/>
                <w:sz w:val="22"/>
                <w:szCs w:val="22"/>
                <w:lang w:val="ro-RO"/>
              </w:rPr>
              <w:t xml:space="preserve"> legislative fiind criticate atât de </w:t>
            </w:r>
            <w:r w:rsidR="0022668D" w:rsidRPr="00CB23A7">
              <w:rPr>
                <w:rFonts w:ascii="Trebuchet MS" w:hAnsi="Trebuchet MS"/>
                <w:sz w:val="22"/>
                <w:szCs w:val="22"/>
                <w:lang w:val="ro-RO"/>
              </w:rPr>
              <w:t>asociații</w:t>
            </w:r>
            <w:r w:rsidR="006D6173" w:rsidRPr="00CB23A7">
              <w:rPr>
                <w:rFonts w:ascii="Trebuchet MS" w:hAnsi="Trebuchet MS"/>
                <w:sz w:val="22"/>
                <w:szCs w:val="22"/>
                <w:lang w:val="ro-RO"/>
              </w:rPr>
              <w:t xml:space="preserve"> ale </w:t>
            </w:r>
            <w:r w:rsidR="0022668D" w:rsidRPr="00CB23A7">
              <w:rPr>
                <w:rFonts w:ascii="Trebuchet MS" w:hAnsi="Trebuchet MS"/>
                <w:sz w:val="22"/>
                <w:szCs w:val="22"/>
                <w:lang w:val="ro-RO"/>
              </w:rPr>
              <w:t>magistraților</w:t>
            </w:r>
            <w:r w:rsidR="006D6173" w:rsidRPr="00CB23A7">
              <w:rPr>
                <w:rFonts w:ascii="Trebuchet MS" w:hAnsi="Trebuchet MS"/>
                <w:sz w:val="22"/>
                <w:szCs w:val="22"/>
                <w:lang w:val="ro-RO"/>
              </w:rPr>
              <w:t xml:space="preserve"> și de societatea civilă, cât și de organismele europene pe motiv că aduc atingere gravă </w:t>
            </w:r>
            <w:r w:rsidR="0022668D" w:rsidRPr="00CB23A7">
              <w:rPr>
                <w:rFonts w:ascii="Trebuchet MS" w:hAnsi="Trebuchet MS"/>
                <w:sz w:val="22"/>
                <w:szCs w:val="22"/>
                <w:lang w:val="ro-RO"/>
              </w:rPr>
              <w:t>eficienței</w:t>
            </w:r>
            <w:r w:rsidR="006D6173" w:rsidRPr="00CB23A7">
              <w:rPr>
                <w:rFonts w:ascii="Trebuchet MS" w:hAnsi="Trebuchet MS"/>
                <w:sz w:val="22"/>
                <w:szCs w:val="22"/>
                <w:lang w:val="ro-RO"/>
              </w:rPr>
              <w:t xml:space="preserve"> </w:t>
            </w:r>
            <w:r w:rsidR="0022668D" w:rsidRPr="00CB23A7">
              <w:rPr>
                <w:rFonts w:ascii="Trebuchet MS" w:hAnsi="Trebuchet MS"/>
                <w:sz w:val="22"/>
                <w:szCs w:val="22"/>
                <w:lang w:val="ro-RO"/>
              </w:rPr>
              <w:t>activității</w:t>
            </w:r>
            <w:r w:rsidR="006D6173" w:rsidRPr="00CB23A7">
              <w:rPr>
                <w:rFonts w:ascii="Trebuchet MS" w:hAnsi="Trebuchet MS"/>
                <w:sz w:val="22"/>
                <w:szCs w:val="22"/>
                <w:lang w:val="ro-RO"/>
              </w:rPr>
              <w:t xml:space="preserve"> instituțiilor sistemului judiciar și independenței justiţiei. </w:t>
            </w:r>
          </w:p>
          <w:p w:rsidR="006D6173" w:rsidRPr="00CB23A7" w:rsidRDefault="006D6173" w:rsidP="006460D9">
            <w:pPr>
              <w:spacing w:line="276" w:lineRule="auto"/>
              <w:jc w:val="both"/>
              <w:outlineLvl w:val="0"/>
              <w:rPr>
                <w:rFonts w:ascii="Trebuchet MS" w:hAnsi="Trebuchet MS"/>
                <w:sz w:val="22"/>
                <w:szCs w:val="22"/>
                <w:lang w:val="ro-RO"/>
              </w:rPr>
            </w:pPr>
            <w:r w:rsidRPr="00CB23A7">
              <w:rPr>
                <w:rFonts w:ascii="Trebuchet MS" w:hAnsi="Trebuchet MS"/>
                <w:sz w:val="22"/>
                <w:szCs w:val="22"/>
                <w:lang w:val="ro-RO"/>
              </w:rPr>
              <w:t xml:space="preserve">În ceea ce privește modificările și completările aduse prin Legea nr. 207/2018 Legii nr. 304/2004, expunerea de motive </w:t>
            </w:r>
            <w:r w:rsidR="00D44CC3" w:rsidRPr="00CB23A7">
              <w:rPr>
                <w:rFonts w:ascii="Trebuchet MS" w:hAnsi="Trebuchet MS"/>
                <w:sz w:val="22"/>
                <w:szCs w:val="22"/>
                <w:lang w:val="ro-RO"/>
              </w:rPr>
              <w:t xml:space="preserve">de la momentul promovării proiectului de act normativ </w:t>
            </w:r>
            <w:r w:rsidR="0022668D" w:rsidRPr="00CB23A7">
              <w:rPr>
                <w:rFonts w:ascii="Trebuchet MS" w:hAnsi="Trebuchet MS"/>
                <w:sz w:val="22"/>
                <w:szCs w:val="22"/>
                <w:lang w:val="ro-RO"/>
              </w:rPr>
              <w:t xml:space="preserve">a </w:t>
            </w:r>
            <w:r w:rsidRPr="00CB23A7">
              <w:rPr>
                <w:rFonts w:ascii="Trebuchet MS" w:hAnsi="Trebuchet MS"/>
                <w:sz w:val="22"/>
                <w:szCs w:val="22"/>
                <w:lang w:val="ro-RO"/>
              </w:rPr>
              <w:t>enumerat</w:t>
            </w:r>
            <w:r w:rsidR="007B21A2" w:rsidRPr="00CB23A7">
              <w:rPr>
                <w:rFonts w:ascii="Trebuchet MS" w:hAnsi="Trebuchet MS"/>
                <w:sz w:val="22"/>
                <w:szCs w:val="22"/>
                <w:lang w:val="ro-RO"/>
              </w:rPr>
              <w:t xml:space="preserve"> </w:t>
            </w:r>
            <w:r w:rsidR="00A01DD0" w:rsidRPr="00CB23A7">
              <w:rPr>
                <w:rFonts w:ascii="Trebuchet MS" w:hAnsi="Trebuchet MS"/>
                <w:sz w:val="22"/>
                <w:szCs w:val="22"/>
                <w:lang w:val="ro-RO"/>
              </w:rPr>
              <w:t xml:space="preserve">incomplet, </w:t>
            </w:r>
            <w:r w:rsidRPr="00CB23A7">
              <w:rPr>
                <w:rFonts w:ascii="Trebuchet MS" w:hAnsi="Trebuchet MS"/>
                <w:sz w:val="22"/>
                <w:szCs w:val="22"/>
                <w:lang w:val="ro-RO"/>
              </w:rPr>
              <w:t xml:space="preserve">în termeni generali, rațiunea intervențiilor legislative: 1) necesitatea de a lua în considerare o decizie a instanței constituționale și de a transfera către Plen anumite prerogative ale Secțiilor Consiliului Superior al Magistraturii; 2) obligativitatea motivării hotărârilor judecătorești în termen de cel mult 90 de zile de la pronunțare; 3) necesitatea înființării unei structuri specializate în cadrul Parchetului de pe lângă Înalta Curte de Casație și Justiție, pentru investigarea infracțiunilor </w:t>
            </w:r>
            <w:r w:rsidR="00A01DD0" w:rsidRPr="00CB23A7">
              <w:rPr>
                <w:rFonts w:ascii="Trebuchet MS" w:hAnsi="Trebuchet MS"/>
                <w:sz w:val="22"/>
                <w:szCs w:val="22"/>
                <w:lang w:val="ro-RO"/>
              </w:rPr>
              <w:t>săvârșite</w:t>
            </w:r>
            <w:r w:rsidRPr="00CB23A7">
              <w:rPr>
                <w:rFonts w:ascii="Trebuchet MS" w:hAnsi="Trebuchet MS"/>
                <w:sz w:val="22"/>
                <w:szCs w:val="22"/>
                <w:lang w:val="ro-RO"/>
              </w:rPr>
              <w:t xml:space="preserve"> de magistrați.</w:t>
            </w:r>
          </w:p>
          <w:p w:rsidR="006D6173" w:rsidRPr="00CB23A7" w:rsidRDefault="00A1547E" w:rsidP="006460D9">
            <w:pPr>
              <w:spacing w:line="276" w:lineRule="auto"/>
              <w:jc w:val="both"/>
              <w:outlineLvl w:val="0"/>
              <w:rPr>
                <w:rFonts w:ascii="Trebuchet MS" w:hAnsi="Trebuchet MS"/>
                <w:sz w:val="22"/>
                <w:szCs w:val="22"/>
                <w:shd w:val="clear" w:color="auto" w:fill="FFFFFF"/>
                <w:lang w:val="ro-RO"/>
              </w:rPr>
            </w:pPr>
            <w:r>
              <w:rPr>
                <w:rFonts w:ascii="Trebuchet MS" w:hAnsi="Trebuchet MS"/>
                <w:sz w:val="22"/>
                <w:szCs w:val="22"/>
                <w:lang w:val="ro-RO" w:eastAsia="pl-PL"/>
              </w:rPr>
              <w:t xml:space="preserve">- </w:t>
            </w:r>
            <w:r w:rsidR="00E04979" w:rsidRPr="00CB23A7">
              <w:rPr>
                <w:rFonts w:ascii="Trebuchet MS" w:hAnsi="Trebuchet MS"/>
                <w:sz w:val="22"/>
                <w:szCs w:val="22"/>
                <w:lang w:val="ro-RO" w:eastAsia="pl-PL"/>
              </w:rPr>
              <w:t xml:space="preserve">Una din modificările </w:t>
            </w:r>
            <w:r w:rsidR="006D6173" w:rsidRPr="00CB23A7">
              <w:rPr>
                <w:rFonts w:ascii="Trebuchet MS" w:hAnsi="Trebuchet MS"/>
                <w:kern w:val="36"/>
                <w:sz w:val="22"/>
                <w:szCs w:val="22"/>
                <w:lang w:val="ro-RO"/>
              </w:rPr>
              <w:t>legislativ</w:t>
            </w:r>
            <w:r w:rsidR="00E04979" w:rsidRPr="00CB23A7">
              <w:rPr>
                <w:rFonts w:ascii="Trebuchet MS" w:hAnsi="Trebuchet MS"/>
                <w:kern w:val="36"/>
                <w:sz w:val="22"/>
                <w:szCs w:val="22"/>
                <w:lang w:val="ro-RO"/>
              </w:rPr>
              <w:t>e</w:t>
            </w:r>
            <w:r w:rsidR="006D6173" w:rsidRPr="00CB23A7">
              <w:rPr>
                <w:rFonts w:ascii="Trebuchet MS" w:hAnsi="Trebuchet MS"/>
                <w:kern w:val="36"/>
                <w:sz w:val="22"/>
                <w:szCs w:val="22"/>
                <w:lang w:val="ro-RO"/>
              </w:rPr>
              <w:t xml:space="preserve"> controversat</w:t>
            </w:r>
            <w:r w:rsidR="00E04979" w:rsidRPr="00CB23A7">
              <w:rPr>
                <w:rFonts w:ascii="Trebuchet MS" w:hAnsi="Trebuchet MS"/>
                <w:kern w:val="36"/>
                <w:sz w:val="22"/>
                <w:szCs w:val="22"/>
                <w:lang w:val="ro-RO"/>
              </w:rPr>
              <w:t>e</w:t>
            </w:r>
            <w:r w:rsidR="006D6173" w:rsidRPr="00CB23A7">
              <w:rPr>
                <w:rFonts w:ascii="Trebuchet MS" w:hAnsi="Trebuchet MS"/>
                <w:kern w:val="36"/>
                <w:sz w:val="22"/>
                <w:szCs w:val="22"/>
                <w:lang w:val="ro-RO"/>
              </w:rPr>
              <w:t xml:space="preserve"> adus</w:t>
            </w:r>
            <w:r w:rsidR="00E04979" w:rsidRPr="00CB23A7">
              <w:rPr>
                <w:rFonts w:ascii="Trebuchet MS" w:hAnsi="Trebuchet MS"/>
                <w:kern w:val="36"/>
                <w:sz w:val="22"/>
                <w:szCs w:val="22"/>
                <w:lang w:val="ro-RO"/>
              </w:rPr>
              <w:t>e</w:t>
            </w:r>
            <w:r w:rsidR="006D6173" w:rsidRPr="00CB23A7">
              <w:rPr>
                <w:rFonts w:ascii="Trebuchet MS" w:hAnsi="Trebuchet MS"/>
                <w:kern w:val="36"/>
                <w:sz w:val="22"/>
                <w:szCs w:val="22"/>
                <w:lang w:val="ro-RO"/>
              </w:rPr>
              <w:t xml:space="preserve"> Legii nr. 304/2004 </w:t>
            </w:r>
            <w:r w:rsidR="00911330" w:rsidRPr="00CB23A7">
              <w:rPr>
                <w:rFonts w:ascii="Trebuchet MS" w:hAnsi="Trebuchet MS"/>
                <w:kern w:val="36"/>
                <w:sz w:val="22"/>
                <w:szCs w:val="22"/>
                <w:lang w:val="ro-RO"/>
              </w:rPr>
              <w:t xml:space="preserve">prin Legea nr. </w:t>
            </w:r>
            <w:r w:rsidR="00911330" w:rsidRPr="00CB23A7">
              <w:rPr>
                <w:rFonts w:ascii="Trebuchet MS" w:hAnsi="Trebuchet MS"/>
                <w:sz w:val="22"/>
                <w:szCs w:val="22"/>
                <w:lang w:val="ro-RO"/>
              </w:rPr>
              <w:t xml:space="preserve">207/2018 </w:t>
            </w:r>
            <w:r w:rsidR="006D6173" w:rsidRPr="00CB23A7">
              <w:rPr>
                <w:rFonts w:ascii="Trebuchet MS" w:hAnsi="Trebuchet MS"/>
                <w:kern w:val="36"/>
                <w:sz w:val="22"/>
                <w:szCs w:val="22"/>
                <w:lang w:val="ro-RO"/>
              </w:rPr>
              <w:t xml:space="preserve">a fost soluția completului de 3 judecători în apel, </w:t>
            </w:r>
            <w:r w:rsidR="006D6173" w:rsidRPr="00CB23A7">
              <w:rPr>
                <w:rFonts w:ascii="Trebuchet MS" w:hAnsi="Trebuchet MS"/>
                <w:sz w:val="22"/>
                <w:szCs w:val="22"/>
                <w:shd w:val="clear" w:color="auto" w:fill="FFFFFF"/>
                <w:lang w:val="ro-RO"/>
              </w:rPr>
              <w:t xml:space="preserve">soluție în niciun fel motivată. </w:t>
            </w:r>
          </w:p>
          <w:p w:rsidR="006D6173" w:rsidRPr="000003BF" w:rsidRDefault="000003BF" w:rsidP="006460D9">
            <w:pPr>
              <w:spacing w:line="276" w:lineRule="auto"/>
              <w:jc w:val="both"/>
              <w:rPr>
                <w:rFonts w:ascii="Trebuchet MS" w:hAnsi="Trebuchet MS"/>
                <w:sz w:val="22"/>
                <w:szCs w:val="22"/>
                <w:shd w:val="clear" w:color="auto" w:fill="FFFFFF"/>
                <w:lang w:val="ro-RO"/>
              </w:rPr>
            </w:pPr>
            <w:r w:rsidRPr="000003BF">
              <w:rPr>
                <w:rFonts w:ascii="Trebuchet MS" w:hAnsi="Trebuchet MS"/>
                <w:sz w:val="22"/>
                <w:szCs w:val="22"/>
                <w:shd w:val="clear" w:color="auto" w:fill="FFFFFF"/>
                <w:lang w:val="ro-RO"/>
              </w:rPr>
              <w:t xml:space="preserve">Chiar dacă s-ar putea presupune că soluția majorării numărului de judecători în completurile care soluționează apelurile a avut la bază ideea că participarea mai multor judecători în complet ar spori </w:t>
            </w:r>
            <w:r w:rsidRPr="000003BF">
              <w:rPr>
                <w:rStyle w:val="Emphasis"/>
                <w:rFonts w:ascii="Trebuchet MS" w:hAnsi="Trebuchet MS" w:cs="Arial"/>
                <w:bCs/>
                <w:i w:val="0"/>
                <w:sz w:val="22"/>
                <w:szCs w:val="22"/>
                <w:shd w:val="clear" w:color="auto" w:fill="FFFFFF"/>
                <w:lang w:val="ro-RO"/>
              </w:rPr>
              <w:t>calitatea actului de justiție,</w:t>
            </w:r>
            <w:r w:rsidRPr="000003BF">
              <w:rPr>
                <w:rStyle w:val="Emphasis"/>
                <w:rFonts w:ascii="Trebuchet MS" w:hAnsi="Trebuchet MS" w:cs="Arial"/>
                <w:bCs/>
                <w:sz w:val="22"/>
                <w:szCs w:val="22"/>
                <w:shd w:val="clear" w:color="auto" w:fill="FFFFFF"/>
                <w:lang w:val="ro-RO"/>
              </w:rPr>
              <w:t xml:space="preserve"> </w:t>
            </w:r>
            <w:r w:rsidRPr="000003BF">
              <w:rPr>
                <w:rStyle w:val="Emphasis"/>
                <w:rFonts w:ascii="Trebuchet MS" w:hAnsi="Trebuchet MS" w:cs="Arial"/>
                <w:bCs/>
                <w:i w:val="0"/>
                <w:sz w:val="22"/>
                <w:szCs w:val="22"/>
                <w:shd w:val="clear" w:color="auto" w:fill="FFFFFF"/>
                <w:lang w:val="ro-RO"/>
              </w:rPr>
              <w:t>î</w:t>
            </w:r>
            <w:r w:rsidR="006D6173" w:rsidRPr="000003BF">
              <w:rPr>
                <w:rFonts w:ascii="Trebuchet MS" w:hAnsi="Trebuchet MS"/>
                <w:sz w:val="22"/>
                <w:szCs w:val="22"/>
                <w:shd w:val="clear" w:color="auto" w:fill="FFFFFF"/>
                <w:lang w:val="ro-RO"/>
              </w:rPr>
              <w:t xml:space="preserve">n acord cu opiniile doctrinare exprimate, este de subliniat faptul că un număr mai mare de judecători în complet nu garantează, în sine, o calitate sporită a deliberării și nici o responsabilitate mai mare a membrilor completului. Dimpotrivă, întrucât numărul cauzelor în care fiecare judecător urmează să </w:t>
            </w:r>
            <w:r w:rsidR="006D6173" w:rsidRPr="000003BF">
              <w:rPr>
                <w:rFonts w:ascii="Trebuchet MS" w:hAnsi="Trebuchet MS"/>
                <w:sz w:val="22"/>
                <w:szCs w:val="22"/>
                <w:shd w:val="clear" w:color="auto" w:fill="FFFFFF"/>
                <w:lang w:val="ro-RO"/>
              </w:rPr>
              <w:lastRenderedPageBreak/>
              <w:t>participe va crește semnificativ, există riscul real al scăderii calității deliberării.</w:t>
            </w:r>
          </w:p>
          <w:p w:rsidR="006D6173" w:rsidRPr="00CB23A7" w:rsidRDefault="006D6173"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Această prevedere a suscitat la momentul introducerii sale critici și din partea actorilor sistemului judiciar. Nu a existat nicio evaluare a impactului pe care această măsură ar avea-o asupra încărcăturii tribunalelor și curților de apel, instanțe cărora le revine, de regulă competența funcțională de a judeca apeluri. În urma criticilor amintite, s-a amânat intrarea în vigoare a prevederilor legale amintite.</w:t>
            </w:r>
          </w:p>
          <w:p w:rsidR="000003BF" w:rsidRDefault="000003BF" w:rsidP="006460D9">
            <w:pPr>
              <w:spacing w:line="276" w:lineRule="auto"/>
              <w:jc w:val="both"/>
              <w:outlineLvl w:val="0"/>
              <w:rPr>
                <w:rFonts w:ascii="Trebuchet MS" w:hAnsi="Trebuchet MS"/>
                <w:sz w:val="22"/>
                <w:szCs w:val="22"/>
                <w:lang w:val="ro-RO"/>
              </w:rPr>
            </w:pPr>
          </w:p>
          <w:p w:rsidR="00344010" w:rsidRPr="00CB23A7" w:rsidRDefault="00344010" w:rsidP="006460D9">
            <w:pPr>
              <w:spacing w:line="276" w:lineRule="auto"/>
              <w:jc w:val="both"/>
              <w:outlineLvl w:val="0"/>
              <w:rPr>
                <w:rFonts w:ascii="Trebuchet MS" w:eastAsiaTheme="minorHAnsi" w:hAnsi="Trebuchet MS"/>
                <w:sz w:val="22"/>
                <w:szCs w:val="22"/>
                <w:lang w:val="ro-RO"/>
              </w:rPr>
            </w:pPr>
            <w:r w:rsidRPr="00CB23A7">
              <w:rPr>
                <w:rFonts w:ascii="Trebuchet MS" w:hAnsi="Trebuchet MS"/>
                <w:sz w:val="22"/>
                <w:szCs w:val="22"/>
                <w:lang w:val="ro-RO"/>
              </w:rPr>
              <w:t xml:space="preserve">O altă modificarea </w:t>
            </w:r>
            <w:r w:rsidRPr="00CB23A7">
              <w:rPr>
                <w:rFonts w:ascii="Trebuchet MS" w:eastAsiaTheme="minorHAnsi" w:hAnsi="Trebuchet MS"/>
                <w:sz w:val="22"/>
                <w:szCs w:val="22"/>
                <w:lang w:val="ro-RO"/>
              </w:rPr>
              <w:t xml:space="preserve">operată prin legea amintită a vizat majorarea vechimii necesare pentru numirea procurorilor în cadrul celor direcții specializate din cadrul Parchetului de pe lângă  Înalta Curte de Casaţie şi Justiţie, de la 6 ani la 10 ani. </w:t>
            </w:r>
          </w:p>
          <w:p w:rsidR="00344010" w:rsidRPr="00CB23A7" w:rsidRDefault="00344010"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CB23A7">
              <w:rPr>
                <w:rFonts w:ascii="Trebuchet MS" w:hAnsi="Trebuchet MS" w:cs="Arial"/>
                <w:sz w:val="22"/>
                <w:szCs w:val="22"/>
                <w:lang w:val="ro-RO"/>
              </w:rPr>
              <w:t xml:space="preserve">Creșterea vechimilor necesare pentru numirea procurorilor în cadrul Direcţiei Naţionale Anticorupţie </w:t>
            </w:r>
            <w:r w:rsidR="005977C7" w:rsidRPr="00CB23A7">
              <w:rPr>
                <w:rFonts w:ascii="Trebuchet MS" w:hAnsi="Trebuchet MS" w:cs="Arial"/>
                <w:sz w:val="22"/>
                <w:szCs w:val="22"/>
                <w:lang w:val="ro-RO"/>
              </w:rPr>
              <w:t xml:space="preserve">(DNA) </w:t>
            </w:r>
            <w:r w:rsidRPr="00CB23A7">
              <w:rPr>
                <w:rFonts w:ascii="Trebuchet MS" w:hAnsi="Trebuchet MS" w:cs="Arial"/>
                <w:sz w:val="22"/>
                <w:szCs w:val="22"/>
                <w:lang w:val="ro-RO"/>
              </w:rPr>
              <w:t xml:space="preserve">şi </w:t>
            </w:r>
            <w:r w:rsidRPr="00CB23A7">
              <w:rPr>
                <w:rStyle w:val="Emphasis"/>
                <w:rFonts w:ascii="Trebuchet MS" w:hAnsi="Trebuchet MS" w:cs="Arial"/>
                <w:bCs/>
                <w:i w:val="0"/>
                <w:iCs w:val="0"/>
                <w:sz w:val="22"/>
                <w:szCs w:val="22"/>
                <w:shd w:val="clear" w:color="auto" w:fill="FFFFFF"/>
                <w:lang w:val="ro-RO"/>
              </w:rPr>
              <w:t xml:space="preserve">Direcţiei </w:t>
            </w:r>
            <w:r w:rsidRPr="00CB23A7">
              <w:rPr>
                <w:rFonts w:ascii="Trebuchet MS" w:hAnsi="Trebuchet MS" w:cs="Arial"/>
                <w:sz w:val="22"/>
                <w:szCs w:val="22"/>
                <w:shd w:val="clear" w:color="auto" w:fill="FFFFFF"/>
                <w:lang w:val="ro-RO"/>
              </w:rPr>
              <w:t>de </w:t>
            </w:r>
            <w:r w:rsidRPr="00CB23A7">
              <w:rPr>
                <w:rStyle w:val="Emphasis"/>
                <w:rFonts w:ascii="Trebuchet MS" w:hAnsi="Trebuchet MS" w:cs="Arial"/>
                <w:bCs/>
                <w:i w:val="0"/>
                <w:iCs w:val="0"/>
                <w:sz w:val="22"/>
                <w:szCs w:val="22"/>
                <w:shd w:val="clear" w:color="auto" w:fill="FFFFFF"/>
                <w:lang w:val="ro-RO"/>
              </w:rPr>
              <w:t>Investigare</w:t>
            </w:r>
            <w:r w:rsidRPr="00CB23A7">
              <w:rPr>
                <w:rFonts w:ascii="Trebuchet MS" w:hAnsi="Trebuchet MS" w:cs="Arial"/>
                <w:sz w:val="22"/>
                <w:szCs w:val="22"/>
                <w:shd w:val="clear" w:color="auto" w:fill="FFFFFF"/>
                <w:lang w:val="ro-RO"/>
              </w:rPr>
              <w:t> a Infracţiunilor de Criminalitate Organizată şi </w:t>
            </w:r>
            <w:r w:rsidRPr="00CB23A7">
              <w:rPr>
                <w:rStyle w:val="Emphasis"/>
                <w:rFonts w:ascii="Trebuchet MS" w:hAnsi="Trebuchet MS" w:cs="Arial"/>
                <w:bCs/>
                <w:i w:val="0"/>
                <w:iCs w:val="0"/>
                <w:sz w:val="22"/>
                <w:szCs w:val="22"/>
                <w:shd w:val="clear" w:color="auto" w:fill="FFFFFF"/>
                <w:lang w:val="ro-RO"/>
              </w:rPr>
              <w:t>Terorism</w:t>
            </w:r>
            <w:r w:rsidR="005977C7" w:rsidRPr="00CB23A7">
              <w:rPr>
                <w:rStyle w:val="Emphasis"/>
                <w:rFonts w:ascii="Trebuchet MS" w:hAnsi="Trebuchet MS" w:cs="Arial"/>
                <w:bCs/>
                <w:i w:val="0"/>
                <w:iCs w:val="0"/>
                <w:sz w:val="22"/>
                <w:szCs w:val="22"/>
                <w:shd w:val="clear" w:color="auto" w:fill="FFFFFF"/>
                <w:lang w:val="ro-RO"/>
              </w:rPr>
              <w:t xml:space="preserve"> (DIICOT) </w:t>
            </w:r>
            <w:r w:rsidRPr="00CB23A7">
              <w:rPr>
                <w:rFonts w:ascii="Trebuchet MS" w:hAnsi="Trebuchet MS" w:cs="Arial"/>
                <w:sz w:val="22"/>
                <w:szCs w:val="22"/>
                <w:lang w:val="ro-RO"/>
              </w:rPr>
              <w:t xml:space="preserve">a condus la reducerea bazei de selecție a candidaților ce ar fi putut participa la procedurile de numire a procurorilor în cadrul celor direcții specializate, astfel că, la data de </w:t>
            </w:r>
            <w:r w:rsidR="005977C7" w:rsidRPr="00CB23A7">
              <w:rPr>
                <w:rFonts w:ascii="Trebuchet MS" w:hAnsi="Trebuchet MS" w:cs="Arial"/>
                <w:sz w:val="22"/>
                <w:szCs w:val="22"/>
                <w:lang w:val="ro-RO"/>
              </w:rPr>
              <w:t>9</w:t>
            </w:r>
            <w:r w:rsidRPr="00CB23A7">
              <w:rPr>
                <w:rFonts w:ascii="Trebuchet MS" w:hAnsi="Trebuchet MS" w:cs="Arial"/>
                <w:sz w:val="22"/>
                <w:szCs w:val="22"/>
                <w:lang w:val="ro-RO"/>
              </w:rPr>
              <w:t>.0</w:t>
            </w:r>
            <w:r w:rsidR="005977C7" w:rsidRPr="00CB23A7">
              <w:rPr>
                <w:rFonts w:ascii="Trebuchet MS" w:hAnsi="Trebuchet MS" w:cs="Arial"/>
                <w:sz w:val="22"/>
                <w:szCs w:val="22"/>
                <w:lang w:val="ro-RO"/>
              </w:rPr>
              <w:t>3</w:t>
            </w:r>
            <w:r w:rsidRPr="00CB23A7">
              <w:rPr>
                <w:rFonts w:ascii="Trebuchet MS" w:hAnsi="Trebuchet MS" w:cs="Arial"/>
                <w:sz w:val="22"/>
                <w:szCs w:val="22"/>
                <w:lang w:val="ro-RO"/>
              </w:rPr>
              <w:t>.2021 exist</w:t>
            </w:r>
            <w:r w:rsidR="005977C7" w:rsidRPr="00CB23A7">
              <w:rPr>
                <w:rFonts w:ascii="Trebuchet MS" w:hAnsi="Trebuchet MS" w:cs="Arial"/>
                <w:sz w:val="22"/>
                <w:szCs w:val="22"/>
                <w:lang w:val="ro-RO"/>
              </w:rPr>
              <w:t>au</w:t>
            </w:r>
            <w:r w:rsidRPr="00CB23A7">
              <w:rPr>
                <w:rFonts w:ascii="Trebuchet MS" w:hAnsi="Trebuchet MS" w:cs="Arial"/>
                <w:sz w:val="22"/>
                <w:szCs w:val="22"/>
                <w:lang w:val="ro-RO"/>
              </w:rPr>
              <w:t xml:space="preserve"> un număr de 1</w:t>
            </w:r>
            <w:r w:rsidR="005977C7" w:rsidRPr="00CB23A7">
              <w:rPr>
                <w:rFonts w:ascii="Trebuchet MS" w:hAnsi="Trebuchet MS" w:cs="Arial"/>
                <w:sz w:val="22"/>
                <w:szCs w:val="22"/>
                <w:lang w:val="ro-RO"/>
              </w:rPr>
              <w:t>6</w:t>
            </w:r>
            <w:r w:rsidRPr="00CB23A7">
              <w:rPr>
                <w:rFonts w:ascii="Trebuchet MS" w:hAnsi="Trebuchet MS" w:cs="Arial"/>
                <w:sz w:val="22"/>
                <w:szCs w:val="22"/>
                <w:lang w:val="ro-RO"/>
              </w:rPr>
              <w:t xml:space="preserve"> posturi</w:t>
            </w:r>
            <w:r w:rsidRPr="00CB23A7">
              <w:rPr>
                <w:rFonts w:ascii="Trebuchet MS" w:hAnsi="Trebuchet MS"/>
                <w:sz w:val="22"/>
                <w:szCs w:val="22"/>
                <w:lang w:val="ro-RO"/>
              </w:rPr>
              <w:t xml:space="preserve"> </w:t>
            </w:r>
            <w:r w:rsidRPr="00CB23A7">
              <w:rPr>
                <w:rFonts w:ascii="Trebuchet MS" w:hAnsi="Trebuchet MS" w:cs="Arial"/>
                <w:sz w:val="22"/>
                <w:szCs w:val="22"/>
                <w:lang w:val="ro-RO"/>
              </w:rPr>
              <w:t>vacante de conducere şi un număr de 4</w:t>
            </w:r>
            <w:r w:rsidR="005977C7" w:rsidRPr="00CB23A7">
              <w:rPr>
                <w:rFonts w:ascii="Trebuchet MS" w:hAnsi="Trebuchet MS" w:cs="Arial"/>
                <w:sz w:val="22"/>
                <w:szCs w:val="22"/>
                <w:lang w:val="ro-RO"/>
              </w:rPr>
              <w:t>2</w:t>
            </w:r>
            <w:r w:rsidRPr="00CB23A7">
              <w:rPr>
                <w:rFonts w:ascii="Trebuchet MS" w:hAnsi="Trebuchet MS" w:cs="Arial"/>
                <w:sz w:val="22"/>
                <w:szCs w:val="22"/>
                <w:lang w:val="ro-RO"/>
              </w:rPr>
              <w:t xml:space="preserve"> posturi</w:t>
            </w:r>
            <w:r w:rsidRPr="00CB23A7">
              <w:rPr>
                <w:rFonts w:ascii="Trebuchet MS" w:hAnsi="Trebuchet MS"/>
                <w:sz w:val="22"/>
                <w:szCs w:val="22"/>
                <w:lang w:val="ro-RO"/>
              </w:rPr>
              <w:t xml:space="preserve"> </w:t>
            </w:r>
            <w:r w:rsidRPr="00CB23A7">
              <w:rPr>
                <w:rFonts w:ascii="Trebuchet MS" w:hAnsi="Trebuchet MS" w:cs="Arial"/>
                <w:sz w:val="22"/>
                <w:szCs w:val="22"/>
                <w:lang w:val="ro-RO"/>
              </w:rPr>
              <w:t xml:space="preserve">vacante de execuție la DNA </w:t>
            </w:r>
            <w:r w:rsidR="005977C7" w:rsidRPr="00CB23A7">
              <w:rPr>
                <w:rFonts w:ascii="Trebuchet MS" w:hAnsi="Trebuchet MS" w:cs="Arial"/>
                <w:sz w:val="22"/>
                <w:szCs w:val="22"/>
                <w:lang w:val="ro-RO"/>
              </w:rPr>
              <w:t>(grad</w:t>
            </w:r>
            <w:r w:rsidR="007E5846" w:rsidRPr="00CB23A7">
              <w:rPr>
                <w:rFonts w:ascii="Trebuchet MS" w:hAnsi="Trebuchet MS" w:cs="Arial"/>
                <w:sz w:val="22"/>
                <w:szCs w:val="22"/>
                <w:lang w:val="ro-RO"/>
              </w:rPr>
              <w:t>ul</w:t>
            </w:r>
            <w:r w:rsidR="005977C7" w:rsidRPr="00CB23A7">
              <w:rPr>
                <w:rFonts w:ascii="Trebuchet MS" w:hAnsi="Trebuchet MS" w:cs="Arial"/>
                <w:sz w:val="22"/>
                <w:szCs w:val="22"/>
                <w:lang w:val="ro-RO"/>
              </w:rPr>
              <w:t xml:space="preserve"> de ocupare </w:t>
            </w:r>
            <w:r w:rsidR="007E5846" w:rsidRPr="00CB23A7">
              <w:rPr>
                <w:rFonts w:ascii="Trebuchet MS" w:hAnsi="Trebuchet MS" w:cs="Arial"/>
                <w:sz w:val="22"/>
                <w:szCs w:val="22"/>
                <w:lang w:val="ro-RO"/>
              </w:rPr>
              <w:t xml:space="preserve">fiind de </w:t>
            </w:r>
            <w:r w:rsidR="005977C7" w:rsidRPr="00CB23A7">
              <w:rPr>
                <w:rFonts w:ascii="Trebuchet MS" w:hAnsi="Trebuchet MS" w:cs="Arial"/>
                <w:sz w:val="22"/>
                <w:szCs w:val="22"/>
                <w:lang w:val="ro-RO"/>
              </w:rPr>
              <w:t>70,26</w:t>
            </w:r>
            <w:r w:rsidR="007E5846" w:rsidRPr="00CB23A7">
              <w:rPr>
                <w:rFonts w:ascii="Trebuchet MS" w:hAnsi="Trebuchet MS" w:cs="Arial"/>
                <w:sz w:val="22"/>
                <w:szCs w:val="22"/>
                <w:lang w:val="ro-RO"/>
              </w:rPr>
              <w:t xml:space="preserve">%) </w:t>
            </w:r>
            <w:r w:rsidRPr="00CB23A7">
              <w:rPr>
                <w:rFonts w:ascii="Trebuchet MS" w:hAnsi="Trebuchet MS" w:cs="Arial"/>
                <w:sz w:val="22"/>
                <w:szCs w:val="22"/>
                <w:lang w:val="ro-RO"/>
              </w:rPr>
              <w:t xml:space="preserve">şi un număr de </w:t>
            </w:r>
            <w:r w:rsidR="005977C7" w:rsidRPr="00CB23A7">
              <w:rPr>
                <w:rFonts w:ascii="Trebuchet MS" w:hAnsi="Trebuchet MS" w:cs="Arial"/>
                <w:sz w:val="22"/>
                <w:szCs w:val="22"/>
                <w:lang w:val="ro-RO"/>
              </w:rPr>
              <w:t>22</w:t>
            </w:r>
            <w:r w:rsidRPr="00CB23A7">
              <w:rPr>
                <w:rFonts w:ascii="Trebuchet MS" w:hAnsi="Trebuchet MS" w:cs="Arial"/>
                <w:sz w:val="22"/>
                <w:szCs w:val="22"/>
                <w:lang w:val="ro-RO"/>
              </w:rPr>
              <w:t xml:space="preserve"> posturi vacante de conducere şi un număr de 1</w:t>
            </w:r>
            <w:r w:rsidR="005977C7" w:rsidRPr="00CB23A7">
              <w:rPr>
                <w:rFonts w:ascii="Trebuchet MS" w:hAnsi="Trebuchet MS" w:cs="Arial"/>
                <w:sz w:val="22"/>
                <w:szCs w:val="22"/>
                <w:lang w:val="ro-RO"/>
              </w:rPr>
              <w:t>6</w:t>
            </w:r>
            <w:r w:rsidRPr="00CB23A7">
              <w:rPr>
                <w:rFonts w:ascii="Trebuchet MS" w:hAnsi="Trebuchet MS" w:cs="Arial"/>
                <w:sz w:val="22"/>
                <w:szCs w:val="22"/>
                <w:lang w:val="ro-RO"/>
              </w:rPr>
              <w:t xml:space="preserve"> posturi vacante de execuție la DIICOT</w:t>
            </w:r>
            <w:r w:rsidR="007E5846" w:rsidRPr="00CB23A7">
              <w:rPr>
                <w:rFonts w:ascii="Trebuchet MS" w:hAnsi="Trebuchet MS" w:cs="Arial"/>
                <w:sz w:val="22"/>
                <w:szCs w:val="22"/>
                <w:lang w:val="ro-RO"/>
              </w:rPr>
              <w:t xml:space="preserve"> (gradul de ocupare fiind de 87,12%)</w:t>
            </w:r>
            <w:r w:rsidRPr="00CB23A7">
              <w:rPr>
                <w:rFonts w:ascii="Trebuchet MS" w:hAnsi="Trebuchet MS" w:cs="Arial"/>
                <w:sz w:val="22"/>
                <w:szCs w:val="22"/>
                <w:lang w:val="ro-RO"/>
              </w:rPr>
              <w:t>.</w:t>
            </w:r>
          </w:p>
          <w:p w:rsidR="00D221FC" w:rsidRPr="00CB23A7" w:rsidRDefault="00D221FC"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CB23A7">
              <w:rPr>
                <w:rFonts w:ascii="Trebuchet MS" w:hAnsi="Trebuchet MS"/>
                <w:sz w:val="22"/>
                <w:szCs w:val="22"/>
                <w:lang w:val="ro-RO"/>
              </w:rPr>
              <w:t>- P</w:t>
            </w:r>
            <w:r w:rsidRPr="00CB23A7">
              <w:rPr>
                <w:rFonts w:ascii="Trebuchet MS" w:hAnsi="Trebuchet MS"/>
                <w:iCs/>
                <w:sz w:val="22"/>
                <w:szCs w:val="22"/>
                <w:lang w:val="ro-RO"/>
              </w:rPr>
              <w:t xml:space="preserve">rin </w:t>
            </w:r>
            <w:r w:rsidRPr="00CB23A7">
              <w:rPr>
                <w:rFonts w:ascii="Trebuchet MS" w:hAnsi="Trebuchet MS"/>
                <w:sz w:val="22"/>
                <w:szCs w:val="22"/>
                <w:lang w:val="ro-RO"/>
              </w:rPr>
              <w:t xml:space="preserve">Decizia nr. 384/2020, publicată în Monitorul Oficial al României nr. 657 din 24.07.2020, Curtea Constituțională a admis excepția de neconstituționalitate invocată şi a constatat că sintagma „în cazul exercitării necorespunzătoare a atribuțiilor specifice funcției”, din cuprinsul dispozițiilor art.5 alin.(4) din Ordonanța de urgență a Guvernului nr.78/2016 pentru organizarea şi funcționarea Direcției de Investigare a </w:t>
            </w:r>
            <w:r w:rsidR="004E23F9" w:rsidRPr="00CB23A7">
              <w:rPr>
                <w:rFonts w:ascii="Trebuchet MS" w:hAnsi="Trebuchet MS"/>
                <w:sz w:val="22"/>
                <w:szCs w:val="22"/>
                <w:lang w:val="ro-RO"/>
              </w:rPr>
              <w:t>Infracțiunilor</w:t>
            </w:r>
            <w:r w:rsidRPr="00CB23A7">
              <w:rPr>
                <w:rFonts w:ascii="Trebuchet MS" w:hAnsi="Trebuchet MS"/>
                <w:sz w:val="22"/>
                <w:szCs w:val="22"/>
                <w:lang w:val="ro-RO"/>
              </w:rPr>
              <w:t xml:space="preserve"> de Criminalitate Organizată şi Terorism, precum şi pentru modificarea şi completarea unor acte normative, este neconstituțională.</w:t>
            </w:r>
          </w:p>
          <w:p w:rsidR="00D221FC" w:rsidRPr="00CB23A7" w:rsidRDefault="00D221FC"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Prin decizia antereferită, Curtea Constituțională a constatat că “revocarea pentru exercitare necorespunzătoare a atribuțiilor specifice funcției de procuror al Direcției de Investigare a Infracţiunilor de Criminalitate Organizată şi Terorism trebuie să fie consecința unei evaluări a modului de exercitare a atribuțiilor respective, evaluare efectuată în baza unor criterii obiective. Cu alte cuvinte, legea trebuie să prevadă criterii și condiții obiective pentru evaluarea, de către procurorul-șef al Direcţiei de Investigare a Infracţiunilor de Criminalitate Organizată şi Terorism, a exercitării atribuțiilor specifice funcției de procuror al Direcţiei de Investigare a Infracţiunilor de Criminalitate Organizată şi Terorism, întrucât concluzia rezultată în urma evaluării, în sensul că exercitarea atribuțiilor specifice a fost făcută în mod necorespunzător, conduce la încetarea activității acestuia în cadrul Direcţiei de Investigare a Infracţiunilor de </w:t>
            </w:r>
            <w:r w:rsidRPr="00CB23A7">
              <w:rPr>
                <w:rFonts w:ascii="Trebuchet MS" w:hAnsi="Trebuchet MS"/>
                <w:sz w:val="22"/>
                <w:szCs w:val="22"/>
                <w:lang w:val="ro-RO"/>
              </w:rPr>
              <w:lastRenderedPageBreak/>
              <w:t xml:space="preserve">Criminalitate Organizată şi Terorism. Or, nereglementarea unor criterii obiective de evaluare a modului în care un procuror al Direcţiei de Investigare a Infracţiunilor de Criminalitate Organizată şi Terorism și-a exercitat atribuțiile specifice funcției determină lipsa de claritate și de previzibilitate a sintagmei „în cazul exercitării necorespunzătoare a atribuţiilor specifice funcţiei”, cuprinse în art.5 alin.(4) din Ordonanța de urgență a Guvernului nr.78/2016.” </w:t>
            </w:r>
          </w:p>
          <w:p w:rsidR="00EF29C5" w:rsidRPr="00CB23A7" w:rsidRDefault="00D221FC"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Curtea a mai reținut faptul că “normele criticate instituie un caz de încetare a activității procurorului în cadrul </w:t>
            </w:r>
            <w:r w:rsidR="00EF7A65" w:rsidRPr="00CB23A7">
              <w:rPr>
                <w:rFonts w:ascii="Trebuchet MS" w:hAnsi="Trebuchet MS"/>
                <w:sz w:val="22"/>
                <w:szCs w:val="22"/>
                <w:lang w:val="ro-RO"/>
              </w:rPr>
              <w:t>Direcției</w:t>
            </w:r>
            <w:r w:rsidRPr="00CB23A7">
              <w:rPr>
                <w:rFonts w:ascii="Trebuchet MS" w:hAnsi="Trebuchet MS"/>
                <w:sz w:val="22"/>
                <w:szCs w:val="22"/>
                <w:lang w:val="ro-RO"/>
              </w:rPr>
              <w:t xml:space="preserve"> de Investigare a Infracţiunilor de Criminalitate Organizată şi Terorism. Chiar dacă, potrivit art.5 alin.(5) din Ordonanța de urgență a Guvernului nr.78/2016, la data încetării activității în cadrul Direcției de Investigare a Infracţiunilor de Criminalitate Organizată şi Terorism, procurorul revine la parchetul de unde provine, textul de lege criticat reglementează un aspect al carierei procurorului, ce ține de statutul magistraților. Or, statutul juridic al unei categorii de personal este reprezentat de dispozițiile de lege referitoare la încheierea, executarea, modificarea, suspendarea şi încetarea raportului juridic de muncă în care se află respectiva categorie (a se vedea, în acest sens, Decizia nr.172 din 24 martie 2016, publicată în Monitorul Oficial la României, Partea I, nr.315 din 25 aprilie 2016, par.19).”</w:t>
            </w:r>
          </w:p>
        </w:tc>
      </w:tr>
      <w:tr w:rsidR="008B516A" w:rsidRPr="00CB23A7" w:rsidTr="00346997">
        <w:tc>
          <w:tcPr>
            <w:tcW w:w="3970" w:type="dxa"/>
            <w:tcBorders>
              <w:right w:val="single" w:sz="4" w:space="0" w:color="auto"/>
            </w:tcBorders>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lastRenderedPageBreak/>
              <w:t>1</w:t>
            </w:r>
            <w:r w:rsidRPr="00CB23A7">
              <w:rPr>
                <w:rFonts w:ascii="Trebuchet MS" w:hAnsi="Trebuchet MS"/>
                <w:snapToGrid w:val="0"/>
                <w:sz w:val="22"/>
                <w:szCs w:val="22"/>
                <w:vertAlign w:val="superscript"/>
                <w:lang w:val="ro-RO"/>
              </w:rPr>
              <w:t>1</w:t>
            </w:r>
            <w:r w:rsidRPr="00CB23A7">
              <w:rPr>
                <w:rFonts w:ascii="Trebuchet MS" w:hAnsi="Trebuchet MS"/>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7"/>
            <w:tcBorders>
              <w:top w:val="single" w:sz="4" w:space="0" w:color="auto"/>
              <w:left w:val="single" w:sz="4" w:space="0" w:color="auto"/>
              <w:bottom w:val="single" w:sz="4" w:space="0" w:color="auto"/>
              <w:right w:val="single" w:sz="4" w:space="0" w:color="auto"/>
            </w:tcBorders>
          </w:tcPr>
          <w:p w:rsidR="00682D39" w:rsidRPr="00CB23A7" w:rsidRDefault="00682D39" w:rsidP="006460D9">
            <w:pPr>
              <w:shd w:val="clear" w:color="auto" w:fill="FFFFFF"/>
              <w:spacing w:line="276" w:lineRule="auto"/>
              <w:ind w:left="22"/>
              <w:jc w:val="both"/>
              <w:rPr>
                <w:rFonts w:ascii="Trebuchet MS" w:hAnsi="Trebuchet MS"/>
                <w:sz w:val="22"/>
                <w:szCs w:val="22"/>
                <w:lang w:val="ro-RO"/>
              </w:rPr>
            </w:pPr>
            <w:r w:rsidRPr="00CB23A7">
              <w:rPr>
                <w:rFonts w:ascii="Trebuchet MS" w:hAnsi="Trebuchet MS"/>
                <w:sz w:val="22"/>
                <w:szCs w:val="22"/>
                <w:lang w:val="ro-RO"/>
              </w:rPr>
              <w:t xml:space="preserve">Nu este cazul </w:t>
            </w:r>
          </w:p>
          <w:p w:rsidR="00682D39" w:rsidRPr="00CB23A7" w:rsidRDefault="00682D39" w:rsidP="006460D9">
            <w:pPr>
              <w:shd w:val="clear" w:color="auto" w:fill="FFFFFF"/>
              <w:spacing w:line="276" w:lineRule="auto"/>
              <w:ind w:left="22"/>
              <w:jc w:val="both"/>
              <w:rPr>
                <w:rFonts w:ascii="Trebuchet MS" w:hAnsi="Trebuchet MS"/>
                <w:sz w:val="22"/>
                <w:szCs w:val="22"/>
                <w:lang w:val="ro-RO"/>
              </w:rPr>
            </w:pPr>
          </w:p>
          <w:p w:rsidR="00682D39" w:rsidRPr="00CB23A7" w:rsidRDefault="00682D39" w:rsidP="006460D9">
            <w:pPr>
              <w:shd w:val="clear" w:color="auto" w:fill="FFFFFF"/>
              <w:spacing w:line="276" w:lineRule="auto"/>
              <w:ind w:left="22"/>
              <w:jc w:val="both"/>
              <w:rPr>
                <w:rFonts w:ascii="Trebuchet MS" w:hAnsi="Trebuchet MS"/>
                <w:sz w:val="22"/>
                <w:szCs w:val="22"/>
                <w:lang w:val="ro-RO"/>
              </w:rPr>
            </w:pPr>
          </w:p>
          <w:p w:rsidR="00682D39" w:rsidRPr="00CB23A7" w:rsidRDefault="00682D39" w:rsidP="006460D9">
            <w:pPr>
              <w:shd w:val="clear" w:color="auto" w:fill="FFFFFF"/>
              <w:spacing w:line="276" w:lineRule="auto"/>
              <w:jc w:val="both"/>
              <w:rPr>
                <w:rFonts w:ascii="Trebuchet MS" w:hAnsi="Trebuchet MS"/>
                <w:sz w:val="22"/>
                <w:szCs w:val="22"/>
                <w:lang w:val="ro-RO"/>
              </w:rPr>
            </w:pPr>
          </w:p>
          <w:p w:rsidR="00682D39" w:rsidRPr="00CB23A7" w:rsidRDefault="00682D39" w:rsidP="006460D9">
            <w:pPr>
              <w:shd w:val="clear" w:color="auto" w:fill="FFFFFF"/>
              <w:spacing w:line="276" w:lineRule="auto"/>
              <w:jc w:val="both"/>
              <w:rPr>
                <w:rFonts w:ascii="Trebuchet MS" w:hAnsi="Trebuchet MS"/>
                <w:sz w:val="22"/>
                <w:szCs w:val="22"/>
                <w:lang w:val="ro-RO"/>
              </w:rPr>
            </w:pPr>
          </w:p>
        </w:tc>
      </w:tr>
      <w:tr w:rsidR="008B516A" w:rsidRPr="00803353" w:rsidTr="00346997">
        <w:tc>
          <w:tcPr>
            <w:tcW w:w="3970" w:type="dxa"/>
            <w:tcBorders>
              <w:right w:val="single" w:sz="4" w:space="0" w:color="auto"/>
            </w:tcBorders>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2. Schimbări preconizate</w:t>
            </w:r>
          </w:p>
        </w:tc>
        <w:tc>
          <w:tcPr>
            <w:tcW w:w="7229" w:type="dxa"/>
            <w:gridSpan w:val="7"/>
            <w:tcBorders>
              <w:top w:val="single" w:sz="4" w:space="0" w:color="auto"/>
              <w:left w:val="single" w:sz="4" w:space="0" w:color="auto"/>
              <w:bottom w:val="single" w:sz="4" w:space="0" w:color="auto"/>
              <w:right w:val="single" w:sz="4" w:space="0" w:color="auto"/>
            </w:tcBorders>
          </w:tcPr>
          <w:p w:rsidR="005154F4" w:rsidRPr="00F33055" w:rsidRDefault="005154F4" w:rsidP="006460D9">
            <w:pPr>
              <w:autoSpaceDE w:val="0"/>
              <w:autoSpaceDN w:val="0"/>
              <w:adjustRightInd w:val="0"/>
              <w:spacing w:line="276" w:lineRule="auto"/>
              <w:jc w:val="both"/>
              <w:rPr>
                <w:rFonts w:ascii="Trebuchet MS" w:hAnsi="Trebuchet MS"/>
                <w:sz w:val="22"/>
                <w:szCs w:val="22"/>
                <w:lang w:val="ro-RO"/>
              </w:rPr>
            </w:pPr>
            <w:r w:rsidRPr="00F33055">
              <w:rPr>
                <w:rFonts w:ascii="Trebuchet MS" w:hAnsi="Trebuchet MS"/>
                <w:sz w:val="22"/>
                <w:szCs w:val="22"/>
                <w:lang w:val="ro-RO"/>
              </w:rPr>
              <w:t>Intervenția legislativă cuprinsă în prezentul proiect se axează pe următoarele dimensiuni principale:</w:t>
            </w:r>
          </w:p>
          <w:p w:rsidR="005154F4" w:rsidRPr="00F33055" w:rsidRDefault="005154F4" w:rsidP="006460D9">
            <w:pPr>
              <w:pStyle w:val="ListParagraph"/>
              <w:autoSpaceDE w:val="0"/>
              <w:autoSpaceDN w:val="0"/>
              <w:adjustRightInd w:val="0"/>
              <w:spacing w:after="0" w:afterAutospacing="0" w:line="276" w:lineRule="auto"/>
              <w:ind w:left="0"/>
              <w:jc w:val="both"/>
              <w:rPr>
                <w:rFonts w:ascii="Trebuchet MS" w:hAnsi="Trebuchet MS"/>
                <w:lang w:val="ro-RO"/>
              </w:rPr>
            </w:pPr>
            <w:r w:rsidRPr="00F33055">
              <w:rPr>
                <w:rFonts w:ascii="Trebuchet MS" w:hAnsi="Trebuchet MS"/>
                <w:lang w:val="ro-RO"/>
              </w:rPr>
              <w:t>- implementarea în plan legislativ a recomandărilor organismelor europene;</w:t>
            </w:r>
          </w:p>
          <w:p w:rsidR="005154F4" w:rsidRPr="00F33055" w:rsidRDefault="005154F4" w:rsidP="006460D9">
            <w:pPr>
              <w:pStyle w:val="ListParagraph"/>
              <w:autoSpaceDE w:val="0"/>
              <w:autoSpaceDN w:val="0"/>
              <w:adjustRightInd w:val="0"/>
              <w:spacing w:after="0" w:afterAutospacing="0" w:line="276" w:lineRule="auto"/>
              <w:ind w:left="0"/>
              <w:jc w:val="both"/>
              <w:rPr>
                <w:rFonts w:ascii="Trebuchet MS" w:hAnsi="Trebuchet MS"/>
                <w:iCs/>
                <w:lang w:val="ro-RO"/>
              </w:rPr>
            </w:pPr>
            <w:r w:rsidRPr="00F33055">
              <w:rPr>
                <w:rFonts w:ascii="Trebuchet MS" w:hAnsi="Trebuchet MS"/>
                <w:lang w:val="ro-RO"/>
              </w:rPr>
              <w:t>- implementarea la nivel legislativ a deciziilor obligatorii ale Curții Constituționale;</w:t>
            </w:r>
            <w:r w:rsidRPr="00F33055">
              <w:rPr>
                <w:rFonts w:ascii="Trebuchet MS" w:hAnsi="Trebuchet MS"/>
                <w:iCs/>
                <w:lang w:val="ro-RO"/>
              </w:rPr>
              <w:t xml:space="preserve"> </w:t>
            </w:r>
          </w:p>
          <w:p w:rsidR="00696561" w:rsidRPr="00F33055" w:rsidRDefault="005154F4" w:rsidP="006460D9">
            <w:pPr>
              <w:pStyle w:val="ListParagraph"/>
              <w:autoSpaceDE w:val="0"/>
              <w:autoSpaceDN w:val="0"/>
              <w:adjustRightInd w:val="0"/>
              <w:spacing w:after="0" w:afterAutospacing="0" w:line="276" w:lineRule="auto"/>
              <w:ind w:left="0"/>
              <w:jc w:val="both"/>
              <w:rPr>
                <w:rFonts w:ascii="Trebuchet MS" w:hAnsi="Trebuchet MS"/>
                <w:lang w:val="ro-RO"/>
              </w:rPr>
            </w:pPr>
            <w:r w:rsidRPr="00F33055">
              <w:rPr>
                <w:rFonts w:ascii="Trebuchet MS" w:hAnsi="Trebuchet MS"/>
                <w:lang w:val="ro-RO"/>
              </w:rPr>
              <w:t xml:space="preserve">- </w:t>
            </w:r>
            <w:r w:rsidR="00612AB5" w:rsidRPr="00F33055">
              <w:rPr>
                <w:rFonts w:ascii="Trebuchet MS" w:hAnsi="Trebuchet MS"/>
                <w:lang w:val="ro-RO"/>
              </w:rPr>
              <w:t>intervenții</w:t>
            </w:r>
            <w:r w:rsidRPr="00F33055">
              <w:rPr>
                <w:rFonts w:ascii="Trebuchet MS" w:hAnsi="Trebuchet MS"/>
                <w:lang w:val="ro-RO"/>
              </w:rPr>
              <w:t xml:space="preserve"> cu caracter de noutate, punctuale, pe anumite aspecte care generează </w:t>
            </w:r>
            <w:r w:rsidR="00612AB5" w:rsidRPr="00F33055">
              <w:rPr>
                <w:rFonts w:ascii="Trebuchet MS" w:hAnsi="Trebuchet MS"/>
                <w:lang w:val="ro-RO"/>
              </w:rPr>
              <w:t>disfuncționalități</w:t>
            </w:r>
            <w:r w:rsidRPr="00F33055">
              <w:rPr>
                <w:rFonts w:ascii="Trebuchet MS" w:hAnsi="Trebuchet MS"/>
                <w:lang w:val="ro-RO"/>
              </w:rPr>
              <w:t xml:space="preserve"> în practică sau clarificarea unor dispoziții legale contradictorii </w:t>
            </w:r>
            <w:r w:rsidR="00612AB5" w:rsidRPr="00F33055">
              <w:rPr>
                <w:rFonts w:ascii="Trebuchet MS" w:hAnsi="Trebuchet MS"/>
                <w:lang w:val="ro-RO"/>
              </w:rPr>
              <w:t>și</w:t>
            </w:r>
            <w:r w:rsidRPr="00F33055">
              <w:rPr>
                <w:rFonts w:ascii="Trebuchet MS" w:hAnsi="Trebuchet MS"/>
                <w:lang w:val="ro-RO"/>
              </w:rPr>
              <w:t xml:space="preserve"> sistematizarea textelor.  </w:t>
            </w:r>
          </w:p>
          <w:p w:rsidR="00696561" w:rsidRPr="00F33055" w:rsidRDefault="00696561" w:rsidP="006460D9">
            <w:pPr>
              <w:pStyle w:val="ListParagraph"/>
              <w:autoSpaceDE w:val="0"/>
              <w:autoSpaceDN w:val="0"/>
              <w:adjustRightInd w:val="0"/>
              <w:spacing w:after="0" w:afterAutospacing="0" w:line="276" w:lineRule="auto"/>
              <w:ind w:left="0"/>
              <w:jc w:val="both"/>
              <w:rPr>
                <w:rFonts w:ascii="Trebuchet MS" w:hAnsi="Trebuchet MS"/>
                <w:b/>
                <w:bCs/>
                <w:lang w:val="ro-RO"/>
              </w:rPr>
            </w:pPr>
          </w:p>
          <w:p w:rsidR="00696561" w:rsidRPr="00F33055" w:rsidRDefault="000A1A99" w:rsidP="006460D9">
            <w:pPr>
              <w:pStyle w:val="ListParagraph"/>
              <w:autoSpaceDE w:val="0"/>
              <w:autoSpaceDN w:val="0"/>
              <w:adjustRightInd w:val="0"/>
              <w:spacing w:after="0" w:afterAutospacing="0" w:line="276" w:lineRule="auto"/>
              <w:ind w:left="0"/>
              <w:jc w:val="both"/>
              <w:rPr>
                <w:rFonts w:ascii="Trebuchet MS" w:hAnsi="Trebuchet MS"/>
                <w:b/>
                <w:bCs/>
                <w:lang w:val="ro-RO"/>
              </w:rPr>
            </w:pPr>
            <w:r w:rsidRPr="00F33055">
              <w:rPr>
                <w:rFonts w:ascii="Trebuchet MS" w:hAnsi="Trebuchet MS"/>
                <w:b/>
                <w:bCs/>
                <w:lang w:val="ro-RO"/>
              </w:rPr>
              <w:t>Prin proiectul de lege prezentat se propun</w:t>
            </w:r>
            <w:r w:rsidR="00F17005" w:rsidRPr="00F33055">
              <w:rPr>
                <w:rFonts w:ascii="Trebuchet MS" w:hAnsi="Trebuchet MS"/>
                <w:b/>
                <w:bCs/>
                <w:lang w:val="ro-RO"/>
              </w:rPr>
              <w:t>e</w:t>
            </w:r>
            <w:r w:rsidRPr="00F33055">
              <w:rPr>
                <w:rFonts w:ascii="Trebuchet MS" w:hAnsi="Trebuchet MS"/>
                <w:b/>
                <w:bCs/>
                <w:lang w:val="ro-RO"/>
              </w:rPr>
              <w:t>:</w:t>
            </w:r>
          </w:p>
          <w:p w:rsidR="00411EC6" w:rsidRPr="00F33055" w:rsidRDefault="00696561" w:rsidP="006460D9">
            <w:pPr>
              <w:pStyle w:val="ListParagraph"/>
              <w:autoSpaceDE w:val="0"/>
              <w:autoSpaceDN w:val="0"/>
              <w:adjustRightInd w:val="0"/>
              <w:spacing w:after="0" w:afterAutospacing="0" w:line="276" w:lineRule="auto"/>
              <w:ind w:left="0"/>
              <w:jc w:val="both"/>
              <w:rPr>
                <w:rFonts w:ascii="Trebuchet MS" w:hAnsi="Trebuchet MS"/>
                <w:lang w:val="ro-RO"/>
              </w:rPr>
            </w:pPr>
            <w:r w:rsidRPr="00F33055">
              <w:rPr>
                <w:rFonts w:ascii="Trebuchet MS" w:hAnsi="Trebuchet MS"/>
                <w:lang w:val="ro-RO"/>
              </w:rPr>
              <w:t>-</w:t>
            </w:r>
            <w:r w:rsidR="00411EC6" w:rsidRPr="00F33055">
              <w:rPr>
                <w:rFonts w:ascii="Trebuchet MS" w:hAnsi="Trebuchet MS"/>
                <w:lang w:val="ro-RO"/>
              </w:rPr>
              <w:t xml:space="preserve"> consacr</w:t>
            </w:r>
            <w:r w:rsidRPr="00F33055">
              <w:rPr>
                <w:rFonts w:ascii="Trebuchet MS" w:hAnsi="Trebuchet MS"/>
                <w:lang w:val="ro-RO"/>
              </w:rPr>
              <w:t>area</w:t>
            </w:r>
            <w:r w:rsidR="00411EC6" w:rsidRPr="00F33055">
              <w:rPr>
                <w:rFonts w:ascii="Trebuchet MS" w:hAnsi="Trebuchet MS"/>
                <w:lang w:val="ro-RO"/>
              </w:rPr>
              <w:t xml:space="preserve"> principiul</w:t>
            </w:r>
            <w:r w:rsidRPr="00F33055">
              <w:rPr>
                <w:rFonts w:ascii="Trebuchet MS" w:hAnsi="Trebuchet MS"/>
                <w:lang w:val="ro-RO"/>
              </w:rPr>
              <w:t>ui</w:t>
            </w:r>
            <w:r w:rsidR="00411EC6" w:rsidRPr="00F33055">
              <w:rPr>
                <w:rFonts w:ascii="Trebuchet MS" w:hAnsi="Trebuchet MS"/>
                <w:lang w:val="ro-RO"/>
              </w:rPr>
              <w:t xml:space="preserve"> potrivit căruia Ministerul Justiţiei contribuie, alături de Consiliul Superior al Magistraturii, la buna organizare și administrare a justiției, ca serviciu public, renunţându-se la concepţia anterioară potrivit căreia Ministerul Justiţiei era unica autoritate responsabilă sub acest aspect; astfel, prin rolul său constituțional de garant al independenței justiției, competențele și atribuțiile legale, </w:t>
            </w:r>
            <w:r w:rsidR="00411EC6" w:rsidRPr="00F33055">
              <w:rPr>
                <w:rFonts w:ascii="Trebuchet MS" w:hAnsi="Trebuchet MS"/>
                <w:lang w:val="ro-RO"/>
              </w:rPr>
              <w:lastRenderedPageBreak/>
              <w:t>Consiliul Superior al Magistraturii contribuie, la rândul său, la buna organizare și administrare a justiției ca serviciu public.</w:t>
            </w:r>
          </w:p>
          <w:p w:rsidR="000003BF" w:rsidRPr="00F33055" w:rsidRDefault="00696561" w:rsidP="006460D9">
            <w:pPr>
              <w:pStyle w:val="ListParagraph"/>
              <w:spacing w:after="0" w:afterAutospacing="0" w:line="276" w:lineRule="auto"/>
              <w:ind w:left="0"/>
              <w:jc w:val="both"/>
              <w:rPr>
                <w:rFonts w:ascii="Trebuchet MS" w:hAnsi="Trebuchet MS"/>
                <w:lang w:val="ro-RO"/>
              </w:rPr>
            </w:pPr>
            <w:r w:rsidRPr="00F33055">
              <w:rPr>
                <w:rFonts w:ascii="Trebuchet MS" w:hAnsi="Trebuchet MS"/>
                <w:lang w:val="ro-RO"/>
              </w:rPr>
              <w:t>- m</w:t>
            </w:r>
            <w:r w:rsidR="00411EC6" w:rsidRPr="00F33055">
              <w:rPr>
                <w:rFonts w:ascii="Trebuchet MS" w:hAnsi="Trebuchet MS"/>
                <w:lang w:val="ro-RO"/>
              </w:rPr>
              <w:t>enținând soluția legislativă introdusă în anul 2018, proiect</w:t>
            </w:r>
            <w:r w:rsidR="00D44CC3" w:rsidRPr="00F33055">
              <w:rPr>
                <w:rFonts w:ascii="Trebuchet MS" w:hAnsi="Trebuchet MS"/>
                <w:lang w:val="ro-RO"/>
              </w:rPr>
              <w:t>ul</w:t>
            </w:r>
            <w:r w:rsidR="00411EC6" w:rsidRPr="00F33055">
              <w:rPr>
                <w:rFonts w:ascii="Trebuchet MS" w:hAnsi="Trebuchet MS"/>
                <w:lang w:val="ro-RO"/>
              </w:rPr>
              <w:t xml:space="preserve"> prevede faptul că sistemul de repartizare aleatorie a cauzelor pe completuri de judecată se auditează extern la fiecare 2 ani.</w:t>
            </w:r>
          </w:p>
          <w:p w:rsidR="000003BF" w:rsidRPr="00F33055" w:rsidRDefault="00411EC6" w:rsidP="006460D9">
            <w:pPr>
              <w:pStyle w:val="ListParagraph"/>
              <w:spacing w:after="0" w:afterAutospacing="0" w:line="276" w:lineRule="auto"/>
              <w:ind w:left="0"/>
              <w:jc w:val="both"/>
              <w:rPr>
                <w:rFonts w:ascii="Trebuchet MS" w:hAnsi="Trebuchet MS"/>
                <w:lang w:val="ro-RO"/>
              </w:rPr>
            </w:pPr>
            <w:r w:rsidRPr="00F33055">
              <w:rPr>
                <w:rFonts w:ascii="Trebuchet MS" w:hAnsi="Trebuchet MS"/>
                <w:lang w:val="ro-RO"/>
              </w:rPr>
              <w:t>În scopul clarificării înțelesului normei, proiectul stabilește faptul că auditarea externă se face în scopul identificării și remedierii vulnerabilităților sistemului sub aspectul vicierii sau manipulării repartizării aleatorii. Auditarea externă se organizează și conduce de Ministerul Justiției, cu implicarea societății civile și a asociațiilor profesionale ale magistraților, în baza unui ordin emis de ministrul justiției. Auditarea se va finaliza printr-un raport al auditorului, ale cărui concluzii se vor publica pe pagina de internet a Ministerului Justiției</w:t>
            </w:r>
            <w:r w:rsidR="00562716" w:rsidRPr="00F33055">
              <w:rPr>
                <w:rFonts w:ascii="Trebuchet MS" w:hAnsi="Trebuchet MS"/>
                <w:lang w:val="ro-RO"/>
              </w:rPr>
              <w:t xml:space="preserve"> </w:t>
            </w:r>
            <w:r w:rsidR="00A43BE8" w:rsidRPr="00F33055">
              <w:rPr>
                <w:rFonts w:ascii="Trebuchet MS" w:hAnsi="Trebuchet MS"/>
                <w:lang w:val="ro-RO"/>
              </w:rPr>
              <w:t>și</w:t>
            </w:r>
            <w:r w:rsidR="00562716" w:rsidRPr="00F33055">
              <w:rPr>
                <w:rFonts w:ascii="Trebuchet MS" w:hAnsi="Trebuchet MS"/>
                <w:lang w:val="ro-RO"/>
              </w:rPr>
              <w:t xml:space="preserve">, în vederea remedierii </w:t>
            </w:r>
            <w:r w:rsidR="008C2FAD" w:rsidRPr="00F33055">
              <w:rPr>
                <w:rFonts w:ascii="Trebuchet MS" w:hAnsi="Trebuchet MS"/>
                <w:lang w:val="ro-RO"/>
              </w:rPr>
              <w:t>unor</w:t>
            </w:r>
            <w:r w:rsidR="00C83D60" w:rsidRPr="00F33055">
              <w:rPr>
                <w:rFonts w:ascii="Trebuchet MS" w:hAnsi="Trebuchet MS"/>
                <w:lang w:val="ro-RO"/>
              </w:rPr>
              <w:t>a dintre</w:t>
            </w:r>
            <w:r w:rsidR="008C2FAD" w:rsidRPr="00F33055">
              <w:rPr>
                <w:rFonts w:ascii="Trebuchet MS" w:hAnsi="Trebuchet MS"/>
                <w:lang w:val="ro-RO"/>
              </w:rPr>
              <w:t xml:space="preserve"> </w:t>
            </w:r>
            <w:r w:rsidR="00562716" w:rsidRPr="00F33055">
              <w:rPr>
                <w:rFonts w:ascii="Trebuchet MS" w:hAnsi="Trebuchet MS"/>
                <w:lang w:val="ro-RO"/>
              </w:rPr>
              <w:t xml:space="preserve">neregularități constatate, se va comunica </w:t>
            </w:r>
            <w:r w:rsidR="00A43BE8" w:rsidRPr="00F33055">
              <w:rPr>
                <w:rFonts w:ascii="Trebuchet MS" w:hAnsi="Trebuchet MS"/>
                <w:lang w:val="ro-RO"/>
              </w:rPr>
              <w:t>și</w:t>
            </w:r>
            <w:r w:rsidR="00562716" w:rsidRPr="00F33055">
              <w:rPr>
                <w:rFonts w:ascii="Trebuchet MS" w:hAnsi="Trebuchet MS"/>
                <w:lang w:val="ro-RO"/>
              </w:rPr>
              <w:t xml:space="preserve"> Consiliului Superior al Magistraturii</w:t>
            </w:r>
            <w:r w:rsidRPr="00F33055">
              <w:rPr>
                <w:rFonts w:ascii="Trebuchet MS" w:hAnsi="Trebuchet MS"/>
                <w:lang w:val="ro-RO"/>
              </w:rPr>
              <w:t>.</w:t>
            </w:r>
          </w:p>
          <w:p w:rsidR="00F539F2" w:rsidRPr="00F33055" w:rsidRDefault="00696561" w:rsidP="006460D9">
            <w:pPr>
              <w:pStyle w:val="ListParagraph"/>
              <w:spacing w:after="0" w:afterAutospacing="0" w:line="276" w:lineRule="auto"/>
              <w:ind w:left="0"/>
              <w:jc w:val="both"/>
              <w:rPr>
                <w:rFonts w:ascii="Trebuchet MS" w:hAnsi="Trebuchet MS"/>
                <w:lang w:val="ro-RO"/>
              </w:rPr>
            </w:pPr>
            <w:r w:rsidRPr="00F33055">
              <w:rPr>
                <w:rFonts w:ascii="Trebuchet MS" w:hAnsi="Trebuchet MS"/>
                <w:lang w:val="ro-RO"/>
              </w:rPr>
              <w:t xml:space="preserve">- </w:t>
            </w:r>
            <w:r w:rsidR="00F539F2" w:rsidRPr="00F33055">
              <w:rPr>
                <w:rFonts w:ascii="Trebuchet MS" w:hAnsi="Trebuchet MS"/>
                <w:lang w:val="ro-RO"/>
              </w:rPr>
              <w:t xml:space="preserve">Cu caracter de noutate, proiectul prevede faptul că, în mod excepțional, </w:t>
            </w:r>
            <w:r w:rsidR="008C2FAD" w:rsidRPr="00F33055">
              <w:rPr>
                <w:rFonts w:ascii="Trebuchet MS" w:hAnsi="Trebuchet MS"/>
                <w:lang w:val="ro-RO"/>
              </w:rPr>
              <w:t xml:space="preserve">în situația existenței unui volum ridicat de activitate la nivelul unei secții care soluționează cauze în alte materii decât cea penală, pentru soluționarea acestora </w:t>
            </w:r>
            <w:r w:rsidR="008C2FAD" w:rsidRPr="00F33055">
              <w:rPr>
                <w:rFonts w:ascii="Trebuchet MS" w:hAnsi="Trebuchet MS"/>
                <w:shd w:val="clear" w:color="auto" w:fill="FFFFFF"/>
                <w:lang w:val="ro-RO"/>
              </w:rPr>
              <w:t>într-un </w:t>
            </w:r>
            <w:r w:rsidR="008C2FAD" w:rsidRPr="00F33055">
              <w:rPr>
                <w:rStyle w:val="Emphasis"/>
                <w:rFonts w:ascii="Trebuchet MS" w:eastAsiaTheme="majorEastAsia" w:hAnsi="Trebuchet MS"/>
                <w:bCs/>
                <w:i w:val="0"/>
                <w:shd w:val="clear" w:color="auto" w:fill="FFFFFF"/>
                <w:lang w:val="ro-RO"/>
              </w:rPr>
              <w:t>termen optim şi previzibil colegiul de conducere</w:t>
            </w:r>
            <w:r w:rsidR="008C2FAD" w:rsidRPr="00F33055">
              <w:rPr>
                <w:rFonts w:ascii="Trebuchet MS" w:hAnsi="Trebuchet MS"/>
                <w:iCs/>
                <w:lang w:val="ro-RO"/>
              </w:rPr>
              <w:t xml:space="preserve"> al Înaltei Curți de Casaţie şi Justiție</w:t>
            </w:r>
            <w:r w:rsidR="008C2FAD" w:rsidRPr="00F33055">
              <w:rPr>
                <w:rFonts w:ascii="Trebuchet MS" w:hAnsi="Trebuchet MS"/>
                <w:lang w:val="ro-RO"/>
              </w:rPr>
              <w:t xml:space="preserve"> va putea dispune </w:t>
            </w:r>
            <w:r w:rsidR="008C2FAD" w:rsidRPr="00F33055">
              <w:rPr>
                <w:rFonts w:ascii="Trebuchet MS" w:hAnsi="Trebuchet MS"/>
                <w:shd w:val="clear" w:color="auto" w:fill="FFFFFF"/>
                <w:lang w:val="ro-RO"/>
              </w:rPr>
              <w:t>repartizarea temporară în cadrul acelei secții, pe durata unui an, a unor judecători de la alte secții decât cea penală</w:t>
            </w:r>
            <w:r w:rsidR="008C2FAD" w:rsidRPr="00F33055">
              <w:rPr>
                <w:rFonts w:ascii="Trebuchet MS" w:hAnsi="Trebuchet MS"/>
                <w:lang w:val="ro-RO"/>
              </w:rPr>
              <w:t>, în funcție de specializarea acestora</w:t>
            </w:r>
            <w:r w:rsidR="008C2FAD" w:rsidRPr="00F33055">
              <w:rPr>
                <w:rFonts w:ascii="Trebuchet MS" w:hAnsi="Trebuchet MS"/>
                <w:iCs/>
                <w:lang w:val="ro-RO"/>
              </w:rPr>
              <w:t>,</w:t>
            </w:r>
            <w:r w:rsidR="008C2FAD" w:rsidRPr="00F33055">
              <w:rPr>
                <w:rFonts w:ascii="Trebuchet MS" w:hAnsi="Trebuchet MS"/>
                <w:lang w:val="ro-RO"/>
              </w:rPr>
              <w:t xml:space="preserve"> desemnați prin tragere la sorţi.</w:t>
            </w:r>
          </w:p>
          <w:p w:rsidR="00E87B49" w:rsidRPr="00F33055" w:rsidRDefault="00F539F2" w:rsidP="006460D9">
            <w:pPr>
              <w:autoSpaceDE w:val="0"/>
              <w:autoSpaceDN w:val="0"/>
              <w:adjustRightInd w:val="0"/>
              <w:spacing w:line="276" w:lineRule="auto"/>
              <w:jc w:val="both"/>
              <w:rPr>
                <w:rFonts w:ascii="Trebuchet MS" w:hAnsi="Trebuchet MS"/>
                <w:sz w:val="22"/>
                <w:szCs w:val="22"/>
                <w:shd w:val="clear" w:color="auto" w:fill="FFFFFF"/>
                <w:lang w:val="ro-RO"/>
              </w:rPr>
            </w:pPr>
            <w:r w:rsidRPr="00F33055">
              <w:rPr>
                <w:rFonts w:ascii="Trebuchet MS" w:hAnsi="Trebuchet MS"/>
                <w:sz w:val="22"/>
                <w:szCs w:val="22"/>
                <w:lang w:val="ro-RO"/>
              </w:rPr>
              <w:t>Prevederea</w:t>
            </w:r>
            <w:r w:rsidR="008C2FAD" w:rsidRPr="00F33055">
              <w:rPr>
                <w:rFonts w:ascii="Trebuchet MS" w:hAnsi="Trebuchet MS"/>
                <w:sz w:val="22"/>
                <w:szCs w:val="22"/>
                <w:lang w:val="ro-RO"/>
              </w:rPr>
              <w:t xml:space="preserve">, care </w:t>
            </w:r>
            <w:r w:rsidRPr="00F33055">
              <w:rPr>
                <w:rFonts w:ascii="Trebuchet MS" w:hAnsi="Trebuchet MS"/>
                <w:sz w:val="22"/>
                <w:szCs w:val="22"/>
                <w:lang w:val="ro-RO"/>
              </w:rPr>
              <w:t xml:space="preserve">are drept scop asigurarea eficienței activității instanței, precum și respectarea </w:t>
            </w:r>
            <w:r w:rsidRPr="00F33055">
              <w:rPr>
                <w:rFonts w:ascii="Trebuchet MS" w:hAnsi="Trebuchet MS"/>
                <w:sz w:val="22"/>
                <w:szCs w:val="22"/>
                <w:shd w:val="clear" w:color="auto" w:fill="FFFFFF"/>
                <w:lang w:val="ro-RO"/>
              </w:rPr>
              <w:t>dreptului la soluționarea procesului într-un termen rezonabil, ce reprezintă un imperativ al tuturor jurisdicțiilor întemeiate pe principiile statului de drept</w:t>
            </w:r>
            <w:r w:rsidR="008C2FAD" w:rsidRPr="00F33055">
              <w:rPr>
                <w:rFonts w:ascii="Trebuchet MS" w:hAnsi="Trebuchet MS"/>
                <w:sz w:val="22"/>
                <w:szCs w:val="22"/>
                <w:shd w:val="clear" w:color="auto" w:fill="FFFFFF"/>
                <w:lang w:val="ro-RO"/>
              </w:rPr>
              <w:t xml:space="preserve">, este aplicabilă în mod </w:t>
            </w:r>
            <w:r w:rsidR="00E87B49" w:rsidRPr="00F33055">
              <w:rPr>
                <w:rFonts w:ascii="Trebuchet MS" w:hAnsi="Trebuchet MS"/>
                <w:sz w:val="22"/>
                <w:szCs w:val="22"/>
                <w:shd w:val="clear" w:color="auto" w:fill="FFFFFF"/>
                <w:lang w:val="ro-RO"/>
              </w:rPr>
              <w:t>corespunzător</w:t>
            </w:r>
            <w:r w:rsidR="008C2FAD" w:rsidRPr="00F33055">
              <w:rPr>
                <w:rFonts w:ascii="Trebuchet MS" w:hAnsi="Trebuchet MS"/>
                <w:sz w:val="22"/>
                <w:szCs w:val="22"/>
                <w:shd w:val="clear" w:color="auto" w:fill="FFFFFF"/>
                <w:lang w:val="ro-RO"/>
              </w:rPr>
              <w:t xml:space="preserve"> şi </w:t>
            </w:r>
            <w:r w:rsidR="00E87B49" w:rsidRPr="00F33055">
              <w:rPr>
                <w:rFonts w:ascii="Trebuchet MS" w:hAnsi="Trebuchet MS"/>
                <w:sz w:val="22"/>
                <w:szCs w:val="22"/>
                <w:shd w:val="clear" w:color="auto" w:fill="FFFFFF"/>
                <w:lang w:val="ro-RO"/>
              </w:rPr>
              <w:t>celorlalte</w:t>
            </w:r>
            <w:r w:rsidR="008C2FAD" w:rsidRPr="00F33055">
              <w:rPr>
                <w:rFonts w:ascii="Trebuchet MS" w:hAnsi="Trebuchet MS"/>
                <w:sz w:val="22"/>
                <w:szCs w:val="22"/>
                <w:shd w:val="clear" w:color="auto" w:fill="FFFFFF"/>
                <w:lang w:val="ro-RO"/>
              </w:rPr>
              <w:t xml:space="preserve"> </w:t>
            </w:r>
            <w:r w:rsidR="00E87B49" w:rsidRPr="00F33055">
              <w:rPr>
                <w:rFonts w:ascii="Trebuchet MS" w:hAnsi="Trebuchet MS"/>
                <w:sz w:val="22"/>
                <w:szCs w:val="22"/>
                <w:shd w:val="clear" w:color="auto" w:fill="FFFFFF"/>
                <w:lang w:val="ro-RO"/>
              </w:rPr>
              <w:t>instanțe judecătorești</w:t>
            </w:r>
            <w:r w:rsidR="008C2FAD" w:rsidRPr="00F33055">
              <w:rPr>
                <w:rFonts w:ascii="Trebuchet MS" w:hAnsi="Trebuchet MS"/>
                <w:sz w:val="22"/>
                <w:szCs w:val="22"/>
                <w:shd w:val="clear" w:color="auto" w:fill="FFFFFF"/>
                <w:lang w:val="ro-RO"/>
              </w:rPr>
              <w:t>.</w:t>
            </w:r>
            <w:r w:rsidRPr="00F33055">
              <w:rPr>
                <w:rFonts w:ascii="Trebuchet MS" w:hAnsi="Trebuchet MS"/>
                <w:sz w:val="22"/>
                <w:szCs w:val="22"/>
                <w:shd w:val="clear" w:color="auto" w:fill="FFFFFF"/>
                <w:lang w:val="ro-RO"/>
              </w:rPr>
              <w:t xml:space="preserve"> </w:t>
            </w:r>
          </w:p>
          <w:p w:rsidR="000F05CF" w:rsidRPr="0060227E" w:rsidRDefault="00E87B49" w:rsidP="00F144AF">
            <w:pPr>
              <w:autoSpaceDE w:val="0"/>
              <w:autoSpaceDN w:val="0"/>
              <w:adjustRightInd w:val="0"/>
              <w:spacing w:line="276" w:lineRule="auto"/>
              <w:jc w:val="both"/>
              <w:rPr>
                <w:rFonts w:ascii="Trebuchet MS" w:hAnsi="Trebuchet MS"/>
                <w:sz w:val="22"/>
                <w:szCs w:val="22"/>
                <w:lang w:val="ro-RO"/>
              </w:rPr>
            </w:pPr>
            <w:r w:rsidRPr="0060227E">
              <w:rPr>
                <w:rFonts w:ascii="Trebuchet MS" w:hAnsi="Trebuchet MS"/>
                <w:sz w:val="22"/>
                <w:szCs w:val="22"/>
                <w:lang w:val="ro-RO"/>
              </w:rPr>
              <w:t>- Î</w:t>
            </w:r>
            <w:r w:rsidR="00F539F2" w:rsidRPr="0060227E">
              <w:rPr>
                <w:rFonts w:ascii="Trebuchet MS" w:hAnsi="Trebuchet MS"/>
                <w:sz w:val="22"/>
                <w:szCs w:val="22"/>
                <w:lang w:val="ro-RO"/>
              </w:rPr>
              <w:t>n materia completurilor care soluționează apelurile, o altă propunere cuprinsă în proiectul de lege este de revenire la soluția anterioară anului 2018, de soluționare a apelurilor în complet de 2 judecători, dacă prin lege nu se prevede altfel.</w:t>
            </w:r>
          </w:p>
          <w:p w:rsidR="0060227E" w:rsidRPr="0060227E" w:rsidRDefault="00F144AF" w:rsidP="00F144AF">
            <w:pPr>
              <w:shd w:val="clear" w:color="auto" w:fill="FFFFFF"/>
              <w:spacing w:before="60" w:line="276" w:lineRule="auto"/>
              <w:jc w:val="both"/>
              <w:rPr>
                <w:rFonts w:ascii="Trebuchet MS" w:hAnsi="Trebuchet MS"/>
                <w:sz w:val="22"/>
                <w:szCs w:val="22"/>
                <w:shd w:val="clear" w:color="auto" w:fill="FFFFFF"/>
                <w:lang w:val="ro-RO"/>
              </w:rPr>
            </w:pPr>
            <w:r w:rsidRPr="0060227E">
              <w:rPr>
                <w:rFonts w:ascii="Trebuchet MS" w:hAnsi="Trebuchet MS"/>
                <w:sz w:val="22"/>
                <w:szCs w:val="22"/>
                <w:lang w:val="ro-RO"/>
              </w:rPr>
              <w:t xml:space="preserve">Astfel, soluția majorării numărului de judecători în completurile care soluționează apelurile prezintă avantaje discutabile, iar acestea sunt în mod evident </w:t>
            </w:r>
            <w:r w:rsidRPr="0060227E">
              <w:rPr>
                <w:rStyle w:val="Emphasis"/>
                <w:rFonts w:ascii="Trebuchet MS" w:hAnsi="Trebuchet MS" w:cs="Arial"/>
                <w:bCs/>
                <w:i w:val="0"/>
                <w:sz w:val="22"/>
                <w:szCs w:val="22"/>
                <w:shd w:val="clear" w:color="auto" w:fill="FFFFFF"/>
                <w:lang w:val="ro-RO"/>
              </w:rPr>
              <w:t>contrabalansate</w:t>
            </w:r>
            <w:r w:rsidRPr="0060227E">
              <w:rPr>
                <w:rFonts w:ascii="Trebuchet MS" w:hAnsi="Trebuchet MS" w:cs="Arial"/>
                <w:sz w:val="22"/>
                <w:szCs w:val="22"/>
                <w:shd w:val="clear" w:color="auto" w:fill="FFFFFF"/>
                <w:lang w:val="ro-RO"/>
              </w:rPr>
              <w:t xml:space="preserve"> de faptul că soluția extinderii colegialității va genera o creștere considerabilă a </w:t>
            </w:r>
            <w:r w:rsidRPr="0060227E">
              <w:rPr>
                <w:rFonts w:ascii="Trebuchet MS" w:hAnsi="Trebuchet MS"/>
                <w:sz w:val="22"/>
                <w:szCs w:val="22"/>
                <w:shd w:val="clear" w:color="auto" w:fill="FFFFFF"/>
                <w:lang w:val="ro-RO"/>
              </w:rPr>
              <w:t>încărcăturii de cauze pe judecător</w:t>
            </w:r>
            <w:r w:rsidRPr="0060227E">
              <w:rPr>
                <w:rFonts w:ascii="Trebuchet MS" w:hAnsi="Trebuchet MS" w:cs="Arial"/>
                <w:sz w:val="22"/>
                <w:szCs w:val="22"/>
                <w:shd w:val="clear" w:color="auto" w:fill="FFFFFF"/>
                <w:lang w:val="ro-RO"/>
              </w:rPr>
              <w:t xml:space="preserve">, de natură să </w:t>
            </w:r>
            <w:r w:rsidRPr="0060227E">
              <w:rPr>
                <w:rStyle w:val="spar"/>
                <w:rFonts w:ascii="Trebuchet MS" w:hAnsi="Trebuchet MS"/>
                <w:sz w:val="22"/>
                <w:szCs w:val="22"/>
                <w:bdr w:val="none" w:sz="0" w:space="0" w:color="auto" w:frame="1"/>
                <w:lang w:val="ro-RO"/>
              </w:rPr>
              <w:t xml:space="preserve">conducă la prelungirea duratei proceselor şi să genereze </w:t>
            </w:r>
            <w:r w:rsidRPr="0060227E">
              <w:rPr>
                <w:rFonts w:ascii="Trebuchet MS" w:hAnsi="Trebuchet MS"/>
                <w:sz w:val="22"/>
                <w:szCs w:val="22"/>
                <w:lang w:val="ro-RO"/>
              </w:rPr>
              <w:t>riscul real al scăderii calității actului de justiție.</w:t>
            </w:r>
            <w:r w:rsidR="0060227E" w:rsidRPr="0060227E">
              <w:rPr>
                <w:rFonts w:ascii="Trebuchet MS" w:hAnsi="Trebuchet MS"/>
                <w:sz w:val="22"/>
                <w:szCs w:val="22"/>
                <w:shd w:val="clear" w:color="auto" w:fill="FFFFFF"/>
                <w:lang w:val="ro-RO"/>
              </w:rPr>
              <w:t xml:space="preserve"> </w:t>
            </w:r>
          </w:p>
          <w:p w:rsidR="00F144AF" w:rsidRPr="0060227E" w:rsidRDefault="0060227E" w:rsidP="00F144AF">
            <w:pPr>
              <w:shd w:val="clear" w:color="auto" w:fill="FFFFFF"/>
              <w:spacing w:before="60" w:line="276" w:lineRule="auto"/>
              <w:jc w:val="both"/>
              <w:rPr>
                <w:rFonts w:ascii="Trebuchet MS" w:hAnsi="Trebuchet MS"/>
                <w:sz w:val="22"/>
                <w:szCs w:val="22"/>
                <w:lang w:val="ro-RO"/>
              </w:rPr>
            </w:pPr>
            <w:r w:rsidRPr="0060227E">
              <w:rPr>
                <w:rFonts w:ascii="Trebuchet MS" w:hAnsi="Trebuchet MS"/>
                <w:sz w:val="22"/>
                <w:szCs w:val="22"/>
                <w:shd w:val="clear" w:color="auto" w:fill="FFFFFF"/>
                <w:lang w:val="ro-RO"/>
              </w:rPr>
              <w:t xml:space="preserve">Sistemul consacrat anterior de Legea nr. 304/2004 – complet cu judecător unic la judecata în primă instanță, complet format din 2 judecători la judecata din apel și complet format din 3 judecători la judecata în recurs - a fost introdus prin </w:t>
            </w:r>
            <w:r w:rsidRPr="0060227E">
              <w:rPr>
                <w:rFonts w:ascii="Trebuchet MS" w:hAnsi="Trebuchet MS"/>
                <w:sz w:val="22"/>
                <w:szCs w:val="22"/>
                <w:lang w:val="ro-RO"/>
              </w:rPr>
              <w:t xml:space="preserve">Legea nr. 142/1997 în contextul în care </w:t>
            </w:r>
            <w:r w:rsidRPr="0060227E">
              <w:rPr>
                <w:rFonts w:ascii="Trebuchet MS" w:hAnsi="Trebuchet MS" w:cs="Arial"/>
                <w:sz w:val="22"/>
                <w:szCs w:val="22"/>
                <w:shd w:val="clear" w:color="auto" w:fill="FFFFFF"/>
                <w:lang w:val="ro-RO"/>
              </w:rPr>
              <w:t>sistemul judiciar se confrunta cu o serioasă lipsă de personal</w:t>
            </w:r>
            <w:r w:rsidRPr="0060227E">
              <w:rPr>
                <w:rFonts w:ascii="Trebuchet MS" w:hAnsi="Trebuchet MS"/>
                <w:sz w:val="22"/>
                <w:szCs w:val="22"/>
                <w:shd w:val="clear" w:color="auto" w:fill="FFFFFF"/>
                <w:lang w:val="ro-RO"/>
              </w:rPr>
              <w:t>, fiind ulterior preluat și în Legea nr. 304/2004, în condițiile în care acesta şi-a dovedit eficacitatea şi a unei</w:t>
            </w:r>
            <w:r w:rsidRPr="0060227E">
              <w:rPr>
                <w:rFonts w:ascii="Trebuchet MS" w:hAnsi="Trebuchet MS" w:cs="Arial"/>
                <w:sz w:val="22"/>
                <w:szCs w:val="22"/>
                <w:shd w:val="clear" w:color="auto" w:fill="FFFFFF"/>
                <w:lang w:val="ro-RO"/>
              </w:rPr>
              <w:t> </w:t>
            </w:r>
            <w:r w:rsidRPr="0060227E">
              <w:rPr>
                <w:rStyle w:val="Emphasis"/>
                <w:rFonts w:ascii="Trebuchet MS" w:hAnsi="Trebuchet MS" w:cs="Arial"/>
                <w:bCs/>
                <w:i w:val="0"/>
                <w:sz w:val="22"/>
                <w:szCs w:val="22"/>
                <w:shd w:val="clear" w:color="auto" w:fill="FFFFFF"/>
                <w:lang w:val="ro-RO"/>
              </w:rPr>
              <w:t xml:space="preserve">creșteri constante </w:t>
            </w:r>
            <w:r w:rsidRPr="0060227E">
              <w:rPr>
                <w:rFonts w:ascii="Trebuchet MS" w:hAnsi="Trebuchet MS" w:cs="Arial"/>
                <w:sz w:val="22"/>
                <w:szCs w:val="22"/>
                <w:shd w:val="clear" w:color="auto" w:fill="FFFFFF"/>
                <w:lang w:val="ro-RO"/>
              </w:rPr>
              <w:t>a</w:t>
            </w:r>
            <w:r w:rsidRPr="0060227E">
              <w:rPr>
                <w:rFonts w:ascii="Trebuchet MS" w:hAnsi="Trebuchet MS" w:cs="Arial"/>
                <w:i/>
                <w:sz w:val="22"/>
                <w:szCs w:val="22"/>
                <w:shd w:val="clear" w:color="auto" w:fill="FFFFFF"/>
                <w:lang w:val="ro-RO"/>
              </w:rPr>
              <w:t> </w:t>
            </w:r>
            <w:r w:rsidRPr="0060227E">
              <w:rPr>
                <w:rStyle w:val="Emphasis"/>
                <w:rFonts w:ascii="Trebuchet MS" w:hAnsi="Trebuchet MS" w:cs="Arial"/>
                <w:bCs/>
                <w:i w:val="0"/>
                <w:sz w:val="22"/>
                <w:szCs w:val="22"/>
                <w:shd w:val="clear" w:color="auto" w:fill="FFFFFF"/>
                <w:lang w:val="ro-RO"/>
              </w:rPr>
              <w:t>volumului cauzelor</w:t>
            </w:r>
            <w:r w:rsidRPr="0060227E">
              <w:rPr>
                <w:rStyle w:val="Emphasis"/>
                <w:rFonts w:ascii="Trebuchet MS" w:hAnsi="Trebuchet MS" w:cs="Arial"/>
                <w:bCs/>
                <w:sz w:val="22"/>
                <w:szCs w:val="22"/>
                <w:shd w:val="clear" w:color="auto" w:fill="FFFFFF"/>
                <w:lang w:val="ro-RO"/>
              </w:rPr>
              <w:t xml:space="preserve"> </w:t>
            </w:r>
            <w:r w:rsidRPr="0060227E">
              <w:rPr>
                <w:rFonts w:ascii="Trebuchet MS" w:hAnsi="Trebuchet MS"/>
                <w:sz w:val="22"/>
                <w:szCs w:val="22"/>
                <w:shd w:val="clear" w:color="auto" w:fill="FFFFFF"/>
                <w:lang w:val="ro-RO"/>
              </w:rPr>
              <w:t>soluționate de instanțele judecătorești.</w:t>
            </w:r>
          </w:p>
          <w:p w:rsidR="00314E2A" w:rsidRPr="00F33055" w:rsidRDefault="000F05CF" w:rsidP="006460D9">
            <w:pPr>
              <w:autoSpaceDE w:val="0"/>
              <w:autoSpaceDN w:val="0"/>
              <w:adjustRightInd w:val="0"/>
              <w:spacing w:line="276" w:lineRule="auto"/>
              <w:jc w:val="both"/>
              <w:rPr>
                <w:rFonts w:ascii="Trebuchet MS" w:hAnsi="Trebuchet MS"/>
                <w:sz w:val="22"/>
                <w:szCs w:val="22"/>
                <w:lang w:val="ro-RO"/>
              </w:rPr>
            </w:pPr>
            <w:r w:rsidRPr="00F33055">
              <w:rPr>
                <w:rFonts w:ascii="Trebuchet MS" w:eastAsia="Calibri" w:hAnsi="Trebuchet MS"/>
                <w:bCs/>
                <w:sz w:val="22"/>
                <w:szCs w:val="22"/>
                <w:lang w:val="ro-RO"/>
              </w:rPr>
              <w:lastRenderedPageBreak/>
              <w:t>-</w:t>
            </w:r>
            <w:r w:rsidR="00813A63" w:rsidRPr="00F33055">
              <w:rPr>
                <w:rFonts w:ascii="Trebuchet MS" w:eastAsia="Calibri" w:hAnsi="Trebuchet MS"/>
                <w:bCs/>
                <w:sz w:val="22"/>
                <w:szCs w:val="22"/>
                <w:lang w:val="ro-RO"/>
              </w:rPr>
              <w:t xml:space="preserve"> În acord cu </w:t>
            </w:r>
            <w:r w:rsidR="00813A63" w:rsidRPr="00F33055">
              <w:rPr>
                <w:rFonts w:ascii="Trebuchet MS" w:hAnsi="Trebuchet MS"/>
                <w:bCs/>
                <w:sz w:val="22"/>
                <w:szCs w:val="22"/>
                <w:lang w:val="ro-RO"/>
              </w:rPr>
              <w:t xml:space="preserve">Opinia nr. </w:t>
            </w:r>
            <w:r w:rsidR="00813A63" w:rsidRPr="00F33055">
              <w:rPr>
                <w:rFonts w:ascii="Trebuchet MS" w:hAnsi="Trebuchet MS"/>
                <w:sz w:val="22"/>
                <w:szCs w:val="22"/>
                <w:lang w:val="ro-RO"/>
              </w:rPr>
              <w:t xml:space="preserve">924/2018 a </w:t>
            </w:r>
            <w:r w:rsidR="00813A63" w:rsidRPr="00F33055">
              <w:rPr>
                <w:rFonts w:ascii="Trebuchet MS" w:hAnsi="Trebuchet MS"/>
                <w:bCs/>
                <w:sz w:val="22"/>
                <w:szCs w:val="22"/>
                <w:lang w:val="ro-RO"/>
              </w:rPr>
              <w:t xml:space="preserve">Comisiei de la Veneția </w:t>
            </w:r>
            <w:r w:rsidR="00450EF9" w:rsidRPr="00F33055">
              <w:rPr>
                <w:rFonts w:ascii="Trebuchet MS" w:eastAsia="Calibri" w:hAnsi="Trebuchet MS"/>
                <w:bCs/>
                <w:sz w:val="22"/>
                <w:szCs w:val="22"/>
                <w:lang w:val="ro-RO"/>
              </w:rPr>
              <w:t>(</w:t>
            </w:r>
            <w:r w:rsidR="00813A63" w:rsidRPr="00F33055">
              <w:rPr>
                <w:rFonts w:ascii="Trebuchet MS" w:eastAsia="Calibri" w:hAnsi="Trebuchet MS"/>
                <w:bCs/>
                <w:sz w:val="22"/>
                <w:szCs w:val="22"/>
                <w:lang w:val="ro-RO"/>
              </w:rPr>
              <w:t>care a evidențiat faptul că p</w:t>
            </w:r>
            <w:r w:rsidR="00813A63" w:rsidRPr="00F33055">
              <w:rPr>
                <w:rFonts w:ascii="Trebuchet MS" w:hAnsi="Trebuchet MS"/>
                <w:sz w:val="22"/>
                <w:szCs w:val="22"/>
                <w:lang w:val="ro-RO"/>
              </w:rPr>
              <w:t>osibilitatea procurorului șef al DIICOT sau DNA de a revoca procurorii numiți în respectiva structură „în cazul exercitării necorespunzătoare a atribuțiilor specifice funcției” sau „în cazul aplicării unei sancțiuni disciplinare” este problematică întrucât este formulată în termeni prea generali și permite revocarea procurorului pentru încălcări minore</w:t>
            </w:r>
            <w:r w:rsidR="00450EF9" w:rsidRPr="00F33055">
              <w:rPr>
                <w:rFonts w:ascii="Trebuchet MS" w:hAnsi="Trebuchet MS"/>
                <w:sz w:val="22"/>
                <w:szCs w:val="22"/>
                <w:lang w:val="ro-RO"/>
              </w:rPr>
              <w:t>, d</w:t>
            </w:r>
            <w:r w:rsidR="00813A63" w:rsidRPr="00F33055">
              <w:rPr>
                <w:rFonts w:ascii="Trebuchet MS" w:hAnsi="Trebuchet MS"/>
                <w:sz w:val="22"/>
                <w:szCs w:val="22"/>
                <w:lang w:val="ro-RO"/>
              </w:rPr>
              <w:t>eși avizul Secției pentru procurori a CSM poate fi văzut drept o garanție, se recomandă ca motivele de revocare să fie formulate în termeni mai preciși</w:t>
            </w:r>
            <w:r w:rsidR="00450EF9" w:rsidRPr="00F33055">
              <w:rPr>
                <w:rFonts w:ascii="Trebuchet MS" w:hAnsi="Trebuchet MS"/>
                <w:sz w:val="22"/>
                <w:szCs w:val="22"/>
                <w:lang w:val="ro-RO"/>
              </w:rPr>
              <w:t>)</w:t>
            </w:r>
            <w:r w:rsidR="00813A63" w:rsidRPr="00F33055">
              <w:rPr>
                <w:rFonts w:ascii="Trebuchet MS" w:hAnsi="Trebuchet MS"/>
                <w:sz w:val="22"/>
                <w:szCs w:val="22"/>
                <w:lang w:val="ro-RO"/>
              </w:rPr>
              <w:t xml:space="preserve">, </w:t>
            </w:r>
            <w:r w:rsidR="00813A63" w:rsidRPr="00F33055">
              <w:rPr>
                <w:rFonts w:ascii="Trebuchet MS" w:eastAsia="Calibri" w:hAnsi="Trebuchet MS"/>
                <w:bCs/>
                <w:sz w:val="22"/>
                <w:szCs w:val="22"/>
                <w:lang w:val="ro-RO"/>
              </w:rPr>
              <w:t xml:space="preserve">şi cu decizia antereferită a </w:t>
            </w:r>
            <w:r w:rsidR="00612AB5" w:rsidRPr="00F33055">
              <w:rPr>
                <w:rFonts w:ascii="Trebuchet MS" w:eastAsia="Calibri" w:hAnsi="Trebuchet MS"/>
                <w:bCs/>
                <w:sz w:val="22"/>
                <w:szCs w:val="22"/>
                <w:lang w:val="ro-RO"/>
              </w:rPr>
              <w:t>Curții</w:t>
            </w:r>
            <w:r w:rsidR="00813A63" w:rsidRPr="00F33055">
              <w:rPr>
                <w:rFonts w:ascii="Trebuchet MS" w:eastAsia="Calibri" w:hAnsi="Trebuchet MS"/>
                <w:bCs/>
                <w:sz w:val="22"/>
                <w:szCs w:val="22"/>
                <w:lang w:val="ro-RO"/>
              </w:rPr>
              <w:t xml:space="preserve"> </w:t>
            </w:r>
            <w:r w:rsidR="00612AB5" w:rsidRPr="00F33055">
              <w:rPr>
                <w:rFonts w:ascii="Trebuchet MS" w:eastAsia="Calibri" w:hAnsi="Trebuchet MS"/>
                <w:bCs/>
                <w:sz w:val="22"/>
                <w:szCs w:val="22"/>
                <w:lang w:val="ro-RO"/>
              </w:rPr>
              <w:t>Constituționale</w:t>
            </w:r>
            <w:r w:rsidR="00813A63" w:rsidRPr="00F33055">
              <w:rPr>
                <w:rFonts w:ascii="Trebuchet MS" w:eastAsia="Calibri" w:hAnsi="Trebuchet MS"/>
                <w:bCs/>
                <w:sz w:val="22"/>
                <w:szCs w:val="22"/>
                <w:lang w:val="ro-RO"/>
              </w:rPr>
              <w:t xml:space="preserve">, </w:t>
            </w:r>
            <w:r w:rsidR="00813A63" w:rsidRPr="00F33055">
              <w:rPr>
                <w:rFonts w:ascii="Trebuchet MS" w:hAnsi="Trebuchet MS"/>
                <w:sz w:val="22"/>
                <w:szCs w:val="22"/>
                <w:lang w:val="ro-RO"/>
              </w:rPr>
              <w:t xml:space="preserve">au fost reglementate detaliat motivele, precum și procedura de revocare a procurorilor numiți în cadrul DNA și DIICOT, fiind stabilite criterii obiective pentru verificarea modului de exercitare </w:t>
            </w:r>
            <w:r w:rsidR="00765DF8" w:rsidRPr="00F33055">
              <w:rPr>
                <w:rFonts w:ascii="Trebuchet MS" w:hAnsi="Trebuchet MS"/>
                <w:sz w:val="22"/>
                <w:szCs w:val="22"/>
                <w:lang w:val="ro-RO" w:eastAsia="ro-RO" w:bidi="ro-RO"/>
              </w:rPr>
              <w:t>necorespunzătoare a atribuțiilor specifice funcției</w:t>
            </w:r>
            <w:r w:rsidR="00813A63" w:rsidRPr="00F33055">
              <w:rPr>
                <w:rFonts w:ascii="Trebuchet MS" w:hAnsi="Trebuchet MS"/>
                <w:sz w:val="22"/>
                <w:szCs w:val="22"/>
                <w:lang w:val="ro-RO"/>
              </w:rPr>
              <w:t>.</w:t>
            </w:r>
          </w:p>
          <w:p w:rsidR="00A22B53" w:rsidRPr="00F33055" w:rsidRDefault="00314E2A" w:rsidP="006460D9">
            <w:pPr>
              <w:autoSpaceDE w:val="0"/>
              <w:autoSpaceDN w:val="0"/>
              <w:adjustRightInd w:val="0"/>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 </w:t>
            </w:r>
            <w:r w:rsidR="00A22B53" w:rsidRPr="00F33055">
              <w:rPr>
                <w:rFonts w:ascii="Trebuchet MS" w:hAnsi="Trebuchet MS"/>
                <w:sz w:val="22"/>
                <w:szCs w:val="22"/>
                <w:lang w:val="ro-RO"/>
              </w:rPr>
              <w:t xml:space="preserve">Astfel cum a statuat instanța de contencios constituțional în jurisprudența sa, </w:t>
            </w:r>
            <w:r w:rsidR="00A22B53" w:rsidRPr="00F33055">
              <w:rPr>
                <w:rFonts w:ascii="Trebuchet MS" w:hAnsi="Trebuchet MS"/>
                <w:i/>
                <w:sz w:val="22"/>
                <w:szCs w:val="22"/>
                <w:lang w:val="ro-RO"/>
              </w:rPr>
              <w:t xml:space="preserve">“prin aplicarea principiului controlului ierarhic, se asigură îndeplinirea de către toți procurorii din sistemul Ministerului Public a </w:t>
            </w:r>
            <w:r w:rsidR="00A000F7" w:rsidRPr="00F33055">
              <w:rPr>
                <w:rFonts w:ascii="Trebuchet MS" w:hAnsi="Trebuchet MS"/>
                <w:i/>
                <w:sz w:val="22"/>
                <w:szCs w:val="22"/>
                <w:lang w:val="ro-RO"/>
              </w:rPr>
              <w:t>funcției</w:t>
            </w:r>
            <w:r w:rsidR="00A22B53" w:rsidRPr="00F33055">
              <w:rPr>
                <w:rFonts w:ascii="Trebuchet MS" w:hAnsi="Trebuchet MS"/>
                <w:i/>
                <w:sz w:val="22"/>
                <w:szCs w:val="22"/>
                <w:lang w:val="ro-RO"/>
              </w:rPr>
              <w:t xml:space="preserve"> lor de reprezentare a intereselor întregii societăți, altfel spus, exercitarea </w:t>
            </w:r>
            <w:r w:rsidR="00A000F7" w:rsidRPr="00F33055">
              <w:rPr>
                <w:rFonts w:ascii="Trebuchet MS" w:hAnsi="Trebuchet MS"/>
                <w:i/>
                <w:sz w:val="22"/>
                <w:szCs w:val="22"/>
                <w:lang w:val="ro-RO"/>
              </w:rPr>
              <w:t>atribuțiilor</w:t>
            </w:r>
            <w:r w:rsidR="00A22B53" w:rsidRPr="00F33055">
              <w:rPr>
                <w:rFonts w:ascii="Trebuchet MS" w:hAnsi="Trebuchet MS"/>
                <w:i/>
                <w:sz w:val="22"/>
                <w:szCs w:val="22"/>
                <w:lang w:val="ro-RO"/>
              </w:rPr>
              <w:t xml:space="preserve"> de autoritate publică de către acesta, fără discriminare şi fără părtinire. În virtutea acestui principiu, Ministerul Public este conceput ca un sistem piramidal, în care măsurile de aplicare a legii adoptate de procurorul ierarhic superior sunt obligatorii pentru procurorii din subordine, ceea ce conferă substanțialitate principiului exercitării ierarhice a controlului în cadrul acestei autorități publice”</w:t>
            </w:r>
            <w:r w:rsidR="00A22B53" w:rsidRPr="00F33055">
              <w:rPr>
                <w:rFonts w:ascii="Trebuchet MS" w:hAnsi="Trebuchet MS"/>
                <w:sz w:val="22"/>
                <w:szCs w:val="22"/>
                <w:lang w:val="ro-RO"/>
              </w:rPr>
              <w:t xml:space="preserve"> – Decizia nr. 345</w:t>
            </w:r>
            <w:r w:rsidR="00450EF9" w:rsidRPr="00F33055">
              <w:rPr>
                <w:rFonts w:ascii="Trebuchet MS" w:hAnsi="Trebuchet MS"/>
                <w:sz w:val="22"/>
                <w:szCs w:val="22"/>
                <w:lang w:val="ro-RO"/>
              </w:rPr>
              <w:t>/</w:t>
            </w:r>
            <w:r w:rsidR="00A22B53" w:rsidRPr="00F33055">
              <w:rPr>
                <w:rFonts w:ascii="Trebuchet MS" w:hAnsi="Trebuchet MS"/>
                <w:sz w:val="22"/>
                <w:szCs w:val="22"/>
                <w:lang w:val="ro-RO"/>
              </w:rPr>
              <w:t xml:space="preserve">2006 referitoare la </w:t>
            </w:r>
            <w:r w:rsidR="00791EAC" w:rsidRPr="00F33055">
              <w:rPr>
                <w:rFonts w:ascii="Trebuchet MS" w:hAnsi="Trebuchet MS"/>
                <w:sz w:val="22"/>
                <w:szCs w:val="22"/>
                <w:lang w:val="ro-RO"/>
              </w:rPr>
              <w:t>excepția</w:t>
            </w:r>
            <w:r w:rsidR="00A22B53" w:rsidRPr="00F33055">
              <w:rPr>
                <w:rFonts w:ascii="Trebuchet MS" w:hAnsi="Trebuchet MS"/>
                <w:sz w:val="22"/>
                <w:szCs w:val="22"/>
                <w:lang w:val="ro-RO"/>
              </w:rPr>
              <w:t xml:space="preserve"> de neconstituționalitate a dispozițiilor art. 64 alin. (3) din Legea nr. 304/2004 privind organizarea judiciară.</w:t>
            </w:r>
          </w:p>
          <w:p w:rsidR="008A4A11" w:rsidRPr="00F33055" w:rsidRDefault="00A22B53" w:rsidP="006460D9">
            <w:pPr>
              <w:shd w:val="clear" w:color="auto" w:fill="FFFFFF"/>
              <w:spacing w:line="276" w:lineRule="auto"/>
              <w:jc w:val="both"/>
              <w:rPr>
                <w:rFonts w:ascii="Trebuchet MS" w:hAnsi="Trebuchet MS"/>
                <w:sz w:val="22"/>
                <w:szCs w:val="22"/>
                <w:bdr w:val="none" w:sz="0" w:space="0" w:color="auto" w:frame="1"/>
                <w:lang w:val="ro-RO"/>
              </w:rPr>
            </w:pPr>
            <w:r w:rsidRPr="00F33055">
              <w:rPr>
                <w:rFonts w:ascii="Trebuchet MS" w:eastAsia="Calibri" w:hAnsi="Trebuchet MS"/>
                <w:sz w:val="22"/>
                <w:szCs w:val="22"/>
                <w:lang w:val="ro-RO"/>
              </w:rPr>
              <w:t xml:space="preserve">Ținând cont de modul de organizare a parchetelor, </w:t>
            </w:r>
            <w:r w:rsidR="00092B00" w:rsidRPr="00F33055">
              <w:rPr>
                <w:rFonts w:ascii="Trebuchet MS" w:eastAsia="Calibri" w:hAnsi="Trebuchet MS"/>
                <w:sz w:val="22"/>
                <w:szCs w:val="22"/>
                <w:lang w:val="ro-RO"/>
              </w:rPr>
              <w:t>s</w:t>
            </w:r>
            <w:r w:rsidR="00092B00" w:rsidRPr="00F33055">
              <w:rPr>
                <w:rFonts w:ascii="Trebuchet MS" w:hAnsi="Trebuchet MS"/>
                <w:sz w:val="22"/>
                <w:szCs w:val="22"/>
                <w:shd w:val="clear" w:color="auto" w:fill="FFFFFF"/>
                <w:lang w:val="ro-RO"/>
              </w:rPr>
              <w:t xml:space="preserve">pre a da substanță acestor principii și reguli, proiectul stabilește </w:t>
            </w:r>
            <w:r w:rsidRPr="00F33055">
              <w:rPr>
                <w:rFonts w:ascii="Trebuchet MS" w:eastAsia="Calibri" w:hAnsi="Trebuchet MS"/>
                <w:sz w:val="22"/>
                <w:szCs w:val="22"/>
                <w:lang w:val="ro-RO"/>
              </w:rPr>
              <w:t xml:space="preserve">faptul că </w:t>
            </w:r>
            <w:r w:rsidR="008A4A11" w:rsidRPr="00F33055">
              <w:rPr>
                <w:rFonts w:ascii="Trebuchet MS" w:eastAsia="Calibri" w:hAnsi="Trebuchet MS"/>
                <w:sz w:val="22"/>
                <w:szCs w:val="22"/>
                <w:lang w:val="ro-RO"/>
              </w:rPr>
              <w:t>î</w:t>
            </w:r>
            <w:r w:rsidR="008A4A11" w:rsidRPr="00F33055">
              <w:rPr>
                <w:rFonts w:ascii="Trebuchet MS" w:hAnsi="Trebuchet MS"/>
                <w:sz w:val="22"/>
                <w:szCs w:val="22"/>
                <w:bdr w:val="none" w:sz="0" w:space="0" w:color="auto" w:frame="1"/>
                <w:lang w:val="ro-RO"/>
              </w:rPr>
              <w:t xml:space="preserve">n perioada </w:t>
            </w:r>
            <w:r w:rsidR="00C97FDB" w:rsidRPr="00F33055">
              <w:rPr>
                <w:rFonts w:ascii="Trebuchet MS" w:hAnsi="Trebuchet MS"/>
                <w:sz w:val="22"/>
                <w:szCs w:val="22"/>
                <w:bdr w:val="none" w:sz="0" w:space="0" w:color="auto" w:frame="1"/>
                <w:lang w:val="ro-RO"/>
              </w:rPr>
              <w:t>absenței</w:t>
            </w:r>
            <w:r w:rsidR="008A4A11" w:rsidRPr="00F33055">
              <w:rPr>
                <w:rFonts w:ascii="Trebuchet MS" w:hAnsi="Trebuchet MS"/>
                <w:sz w:val="22"/>
                <w:szCs w:val="22"/>
                <w:bdr w:val="none" w:sz="0" w:space="0" w:color="auto" w:frame="1"/>
                <w:lang w:val="ro-RO"/>
              </w:rPr>
              <w:t xml:space="preserve"> procurorului general al Parchetului de pe lângă Înalta Curte de Casaţie şi Justiţie sau a imposibilităţii exercitării funcţiei, indiferent de cauza acesteia, prim-adjunctul procurorului general îl înlocuieşte de drept în exercitarea atribuţiilor ce îi revin în această calitate, iar în cazul absenţei acestuia sau al imposibilităţii exercitării funcţiei, indiferent de cauza acesteia, atribuţiile sunt exercitate de drept de adjunctul procurorului general</w:t>
            </w:r>
            <w:r w:rsidR="0034137E" w:rsidRPr="00F33055">
              <w:rPr>
                <w:rFonts w:ascii="Trebuchet MS" w:hAnsi="Trebuchet MS"/>
                <w:sz w:val="22"/>
                <w:szCs w:val="22"/>
                <w:bdr w:val="none" w:sz="0" w:space="0" w:color="auto" w:frame="1"/>
                <w:lang w:val="ro-RO"/>
              </w:rPr>
              <w:t>. Î</w:t>
            </w:r>
            <w:r w:rsidR="008A4A11" w:rsidRPr="00F33055">
              <w:rPr>
                <w:rFonts w:ascii="Trebuchet MS" w:hAnsi="Trebuchet MS"/>
                <w:sz w:val="22"/>
                <w:szCs w:val="22"/>
                <w:bdr w:val="none" w:sz="0" w:space="0" w:color="auto" w:frame="1"/>
                <w:lang w:val="ro-RO"/>
              </w:rPr>
              <w:t>n cazul vacanţei funcţiei de procuror general, indiferent de cauza acesteia, până la delegarea unui alt procuror în această funcție, atribuțiile ce îi revin în această calitate sunt exercitate de drept de prim-adjunctul procurorului general, iar în cazul vacanței funcției de procuror general şi a celei de prim-adjunct al procurorului general, indiferent de cauza acesteia, atribuțiile sunt exercitate de drept de adjunctul procurorului general.</w:t>
            </w:r>
          </w:p>
          <w:p w:rsidR="00314E2A" w:rsidRPr="00F33055" w:rsidRDefault="008A4A11" w:rsidP="006460D9">
            <w:pPr>
              <w:shd w:val="clear" w:color="auto" w:fill="FFFFFF"/>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Dispoziții similare sunt propuse </w:t>
            </w:r>
            <w:r w:rsidR="00A8673D" w:rsidRPr="00F33055">
              <w:rPr>
                <w:rFonts w:ascii="Trebuchet MS" w:hAnsi="Trebuchet MS"/>
                <w:sz w:val="22"/>
                <w:szCs w:val="22"/>
                <w:lang w:val="ro-RO"/>
              </w:rPr>
              <w:t>și</w:t>
            </w:r>
            <w:r w:rsidRPr="00F33055">
              <w:rPr>
                <w:rFonts w:ascii="Trebuchet MS" w:hAnsi="Trebuchet MS"/>
                <w:sz w:val="22"/>
                <w:szCs w:val="22"/>
                <w:lang w:val="ro-RO"/>
              </w:rPr>
              <w:t xml:space="preserve"> în ceea ce privește funcționarea celorlalte parchete.</w:t>
            </w:r>
          </w:p>
          <w:p w:rsidR="00A355A5" w:rsidRPr="00F33055" w:rsidRDefault="00A355A5" w:rsidP="006460D9">
            <w:pPr>
              <w:shd w:val="clear" w:color="auto" w:fill="FFFFFF"/>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 În materia alcătuirii completurilor de judecată şi repartizării aleatorii a cauzelor sunt introduse cu caracter de noutate </w:t>
            </w:r>
            <w:r w:rsidRPr="00F33055">
              <w:rPr>
                <w:rFonts w:ascii="Trebuchet MS" w:hAnsi="Trebuchet MS"/>
                <w:sz w:val="22"/>
                <w:szCs w:val="22"/>
                <w:shd w:val="clear" w:color="auto" w:fill="FFFFFF"/>
                <w:lang w:val="ro-RO"/>
              </w:rPr>
              <w:t xml:space="preserve">norme cu rang de principiu privind participarea în complet a judecătorilor din </w:t>
            </w:r>
            <w:r w:rsidRPr="00F33055">
              <w:rPr>
                <w:rFonts w:ascii="Trebuchet MS" w:hAnsi="Trebuchet MS"/>
                <w:sz w:val="22"/>
                <w:szCs w:val="22"/>
                <w:shd w:val="clear" w:color="auto" w:fill="FFFFFF"/>
                <w:lang w:val="ro-RO"/>
              </w:rPr>
              <w:lastRenderedPageBreak/>
              <w:t xml:space="preserve">planificarea de permanenţă sau repartizarea aleatorie a cauzelor prin metoda sistemului ciclic.  </w:t>
            </w:r>
          </w:p>
          <w:p w:rsidR="00F17005" w:rsidRPr="00F33055" w:rsidRDefault="00314E2A" w:rsidP="006460D9">
            <w:pPr>
              <w:shd w:val="clear" w:color="auto" w:fill="FFFFFF"/>
              <w:spacing w:line="276" w:lineRule="auto"/>
              <w:jc w:val="both"/>
              <w:rPr>
                <w:rFonts w:ascii="Trebuchet MS" w:hAnsi="Trebuchet MS"/>
                <w:sz w:val="22"/>
                <w:szCs w:val="22"/>
                <w:shd w:val="clear" w:color="auto" w:fill="FFFFFF"/>
                <w:lang w:val="ro-RO"/>
              </w:rPr>
            </w:pPr>
            <w:r w:rsidRPr="00F33055">
              <w:rPr>
                <w:rFonts w:ascii="Trebuchet MS" w:hAnsi="Trebuchet MS"/>
                <w:sz w:val="22"/>
                <w:szCs w:val="22"/>
                <w:shd w:val="clear" w:color="auto" w:fill="FFFFFF"/>
                <w:lang w:val="ro-RO"/>
              </w:rPr>
              <w:t xml:space="preserve">- </w:t>
            </w:r>
            <w:r w:rsidR="00F17005" w:rsidRPr="00F33055">
              <w:rPr>
                <w:rFonts w:ascii="Trebuchet MS" w:hAnsi="Trebuchet MS"/>
                <w:sz w:val="22"/>
                <w:szCs w:val="22"/>
                <w:shd w:val="clear" w:color="auto" w:fill="FFFFFF"/>
                <w:lang w:val="ro-RO"/>
              </w:rPr>
              <w:t>Cadrul legal aplicabil exercitării funcției judiciare de către procuror evidențiază faptul că principiul independenței procurorului în adoptarea unei soluții nu este un drept absolut, fiind limitat de procedura verificării actelor şi soluțiilor dispuse de procuror de către superiorul său.</w:t>
            </w:r>
          </w:p>
          <w:p w:rsidR="00F17005" w:rsidRPr="00F33055" w:rsidRDefault="00F17005" w:rsidP="006460D9">
            <w:pPr>
              <w:spacing w:line="276" w:lineRule="auto"/>
              <w:jc w:val="both"/>
              <w:rPr>
                <w:rFonts w:ascii="Trebuchet MS" w:eastAsia="Calibri" w:hAnsi="Trebuchet MS"/>
                <w:sz w:val="22"/>
                <w:szCs w:val="22"/>
                <w:lang w:val="ro-RO"/>
              </w:rPr>
            </w:pPr>
            <w:r w:rsidRPr="00F33055">
              <w:rPr>
                <w:rFonts w:ascii="Trebuchet MS" w:hAnsi="Trebuchet MS"/>
                <w:sz w:val="22"/>
                <w:szCs w:val="22"/>
                <w:shd w:val="clear" w:color="auto" w:fill="FFFFFF"/>
                <w:lang w:val="ro-RO"/>
              </w:rPr>
              <w:t xml:space="preserve">În această materie, </w:t>
            </w:r>
            <w:r w:rsidR="00BD405E" w:rsidRPr="00F33055">
              <w:rPr>
                <w:rFonts w:ascii="Trebuchet MS" w:hAnsi="Trebuchet MS"/>
                <w:sz w:val="22"/>
                <w:szCs w:val="22"/>
                <w:shd w:val="clear" w:color="auto" w:fill="FFFFFF"/>
                <w:lang w:val="ro-RO"/>
              </w:rPr>
              <w:t xml:space="preserve">proiectul extinde sfera conceptului de </w:t>
            </w:r>
            <w:r w:rsidR="00BD405E" w:rsidRPr="00F33055">
              <w:rPr>
                <w:rFonts w:ascii="Trebuchet MS" w:hAnsi="Trebuchet MS"/>
                <w:sz w:val="22"/>
                <w:szCs w:val="22"/>
                <w:lang w:val="ro-RO"/>
              </w:rPr>
              <w:t xml:space="preserve">independenţă a procurorului, </w:t>
            </w:r>
            <w:r w:rsidR="009020A5" w:rsidRPr="00F33055">
              <w:rPr>
                <w:rFonts w:ascii="Trebuchet MS" w:hAnsi="Trebuchet MS"/>
                <w:sz w:val="22"/>
                <w:szCs w:val="22"/>
                <w:lang w:val="ro-RO"/>
              </w:rPr>
              <w:t>stabilind faptul că</w:t>
            </w:r>
            <w:r w:rsidR="006377D7" w:rsidRPr="00F33055">
              <w:rPr>
                <w:rFonts w:ascii="Trebuchet MS" w:hAnsi="Trebuchet MS"/>
                <w:sz w:val="22"/>
                <w:szCs w:val="22"/>
                <w:lang w:val="ro-RO"/>
              </w:rPr>
              <w:t xml:space="preserve"> nu doar în soluţiile dispuse, ci şi </w:t>
            </w:r>
            <w:r w:rsidR="009020A5" w:rsidRPr="00F33055">
              <w:rPr>
                <w:rFonts w:ascii="Trebuchet MS" w:hAnsi="Trebuchet MS"/>
                <w:iCs/>
                <w:sz w:val="22"/>
                <w:szCs w:val="22"/>
                <w:lang w:val="ro-RO"/>
              </w:rPr>
              <w:t>în efectuarea şi supravegherea urmăririi penale procurorul este independent, în condiţiile prevăzute de lege.</w:t>
            </w:r>
          </w:p>
          <w:p w:rsidR="00410ABB" w:rsidRPr="00F33055" w:rsidRDefault="00314E2A"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 </w:t>
            </w:r>
            <w:r w:rsidR="00410ABB" w:rsidRPr="00F33055">
              <w:rPr>
                <w:rFonts w:ascii="Trebuchet MS" w:hAnsi="Trebuchet MS"/>
                <w:sz w:val="22"/>
                <w:szCs w:val="22"/>
                <w:lang w:val="ro-RO"/>
              </w:rPr>
              <w:t xml:space="preserve">Întrucât numirea în funcția de procuror al Direcției de Investigare a Infracțiunilor de Criminalitate Organizată şi Terorism şi a </w:t>
            </w:r>
            <w:r w:rsidR="00A8673D" w:rsidRPr="00F33055">
              <w:rPr>
                <w:rFonts w:ascii="Trebuchet MS" w:hAnsi="Trebuchet MS"/>
                <w:sz w:val="22"/>
                <w:szCs w:val="22"/>
                <w:lang w:val="ro-RO"/>
              </w:rPr>
              <w:t>Direcției</w:t>
            </w:r>
            <w:r w:rsidR="00410ABB" w:rsidRPr="00F33055">
              <w:rPr>
                <w:rFonts w:ascii="Trebuchet MS" w:hAnsi="Trebuchet MS"/>
                <w:sz w:val="22"/>
                <w:szCs w:val="22"/>
                <w:lang w:val="ro-RO"/>
              </w:rPr>
              <w:t xml:space="preserve"> Naționale Anticorupție reprezintă aspecte esențiale ale raportului juridic de muncă și ale carierei procurorului, proiectul de lege reglementează o procedură detaliată de numire în aceste funcții</w:t>
            </w:r>
            <w:r w:rsidR="00D80D15" w:rsidRPr="00F33055">
              <w:rPr>
                <w:rFonts w:ascii="Trebuchet MS" w:hAnsi="Trebuchet MS"/>
                <w:sz w:val="22"/>
                <w:szCs w:val="22"/>
                <w:lang w:val="ro-RO"/>
              </w:rPr>
              <w:t>, uniformizând totodată regulile de recrutare</w:t>
            </w:r>
            <w:r w:rsidR="00612AB5" w:rsidRPr="00F33055">
              <w:rPr>
                <w:rFonts w:ascii="Trebuchet MS" w:hAnsi="Trebuchet MS"/>
                <w:sz w:val="22"/>
                <w:szCs w:val="22"/>
                <w:lang w:val="ro-RO"/>
              </w:rPr>
              <w:t xml:space="preserve"> a procurorilor din cadrul celor </w:t>
            </w:r>
            <w:r w:rsidR="000D2EA2" w:rsidRPr="00F33055">
              <w:rPr>
                <w:rFonts w:ascii="Trebuchet MS" w:hAnsi="Trebuchet MS"/>
                <w:sz w:val="22"/>
                <w:szCs w:val="22"/>
                <w:lang w:val="ro-RO"/>
              </w:rPr>
              <w:t>două direcții</w:t>
            </w:r>
            <w:r w:rsidR="00410ABB" w:rsidRPr="00F33055">
              <w:rPr>
                <w:rFonts w:ascii="Trebuchet MS" w:hAnsi="Trebuchet MS"/>
                <w:sz w:val="22"/>
                <w:szCs w:val="22"/>
                <w:lang w:val="ro-RO"/>
              </w:rPr>
              <w:t>.</w:t>
            </w:r>
          </w:p>
          <w:p w:rsidR="008A4A11" w:rsidRPr="00F33055" w:rsidRDefault="00410ABB" w:rsidP="006460D9">
            <w:pPr>
              <w:spacing w:line="276" w:lineRule="auto"/>
              <w:jc w:val="both"/>
              <w:rPr>
                <w:rFonts w:ascii="Trebuchet MS" w:hAnsi="Trebuchet MS"/>
                <w:sz w:val="22"/>
                <w:szCs w:val="22"/>
                <w:lang w:val="ro-RO"/>
              </w:rPr>
            </w:pPr>
            <w:r w:rsidRPr="00F33055">
              <w:rPr>
                <w:rFonts w:ascii="Trebuchet MS" w:hAnsi="Trebuchet MS"/>
                <w:sz w:val="22"/>
                <w:szCs w:val="22"/>
                <w:lang w:val="ro-RO"/>
              </w:rPr>
              <w:t>Conform proiectului,</w:t>
            </w:r>
            <w:r w:rsidR="0034137E" w:rsidRPr="00F33055">
              <w:rPr>
                <w:rFonts w:ascii="Trebuchet MS" w:hAnsi="Trebuchet MS"/>
                <w:sz w:val="22"/>
                <w:szCs w:val="22"/>
                <w:lang w:val="ro-RO"/>
              </w:rPr>
              <w:t xml:space="preserve"> p</w:t>
            </w:r>
            <w:r w:rsidR="008A4A11" w:rsidRPr="00F33055">
              <w:rPr>
                <w:rFonts w:ascii="Trebuchet MS" w:hAnsi="Trebuchet MS"/>
                <w:iCs/>
                <w:sz w:val="22"/>
                <w:szCs w:val="22"/>
                <w:lang w:val="ro-RO"/>
              </w:rPr>
              <w:t xml:space="preserve">entru a fi </w:t>
            </w:r>
            <w:r w:rsidR="0034137E" w:rsidRPr="00F33055">
              <w:rPr>
                <w:rFonts w:ascii="Trebuchet MS" w:hAnsi="Trebuchet MS"/>
                <w:iCs/>
                <w:sz w:val="22"/>
                <w:szCs w:val="22"/>
                <w:lang w:val="ro-RO"/>
              </w:rPr>
              <w:t>numiți</w:t>
            </w:r>
            <w:r w:rsidR="008A4A11" w:rsidRPr="00F33055">
              <w:rPr>
                <w:rFonts w:ascii="Trebuchet MS" w:hAnsi="Trebuchet MS"/>
                <w:iCs/>
                <w:sz w:val="22"/>
                <w:szCs w:val="22"/>
                <w:lang w:val="ro-RO"/>
              </w:rPr>
              <w:t xml:space="preserve"> în cadrul </w:t>
            </w:r>
            <w:r w:rsidR="00612AB5" w:rsidRPr="00F33055">
              <w:rPr>
                <w:rFonts w:ascii="Trebuchet MS" w:hAnsi="Trebuchet MS"/>
                <w:iCs/>
                <w:sz w:val="22"/>
                <w:szCs w:val="22"/>
                <w:lang w:val="ro-RO"/>
              </w:rPr>
              <w:t>DNA şi DIICOT</w:t>
            </w:r>
            <w:r w:rsidR="008A4A11" w:rsidRPr="00F33055">
              <w:rPr>
                <w:rFonts w:ascii="Trebuchet MS" w:hAnsi="Trebuchet MS"/>
                <w:iCs/>
                <w:sz w:val="22"/>
                <w:szCs w:val="22"/>
                <w:lang w:val="ro-RO"/>
              </w:rPr>
              <w:t xml:space="preserve">, procurorii trebuie să nu fi fost </w:t>
            </w:r>
            <w:r w:rsidR="0034137E" w:rsidRPr="00F33055">
              <w:rPr>
                <w:rFonts w:ascii="Trebuchet MS" w:hAnsi="Trebuchet MS"/>
                <w:iCs/>
                <w:sz w:val="22"/>
                <w:szCs w:val="22"/>
                <w:lang w:val="ro-RO"/>
              </w:rPr>
              <w:t>sancționați</w:t>
            </w:r>
            <w:r w:rsidR="008A4A11" w:rsidRPr="00F33055">
              <w:rPr>
                <w:rFonts w:ascii="Trebuchet MS" w:hAnsi="Trebuchet MS"/>
                <w:iCs/>
                <w:sz w:val="22"/>
                <w:szCs w:val="22"/>
                <w:lang w:val="ro-RO"/>
              </w:rPr>
              <w:t xml:space="preserve"> disciplinar în ultimi 3 ani, să aibă o bună pregătire profesională, o conduită morală </w:t>
            </w:r>
            <w:r w:rsidR="0034137E" w:rsidRPr="00F33055">
              <w:rPr>
                <w:rFonts w:ascii="Trebuchet MS" w:hAnsi="Trebuchet MS"/>
                <w:iCs/>
                <w:sz w:val="22"/>
                <w:szCs w:val="22"/>
                <w:lang w:val="ro-RO"/>
              </w:rPr>
              <w:t>ireproșabilă</w:t>
            </w:r>
            <w:r w:rsidR="008A4A11" w:rsidRPr="00F33055">
              <w:rPr>
                <w:rFonts w:ascii="Trebuchet MS" w:hAnsi="Trebuchet MS"/>
                <w:iCs/>
                <w:sz w:val="22"/>
                <w:szCs w:val="22"/>
                <w:lang w:val="ro-RO"/>
              </w:rPr>
              <w:t xml:space="preserve">, o vechime de cel </w:t>
            </w:r>
            <w:r w:rsidR="0034137E" w:rsidRPr="00F33055">
              <w:rPr>
                <w:rFonts w:ascii="Trebuchet MS" w:hAnsi="Trebuchet MS"/>
                <w:iCs/>
                <w:sz w:val="22"/>
                <w:szCs w:val="22"/>
                <w:lang w:val="ro-RO"/>
              </w:rPr>
              <w:t>puțin</w:t>
            </w:r>
            <w:r w:rsidR="008A4A11" w:rsidRPr="00F33055">
              <w:rPr>
                <w:rFonts w:ascii="Trebuchet MS" w:hAnsi="Trebuchet MS"/>
                <w:iCs/>
                <w:sz w:val="22"/>
                <w:szCs w:val="22"/>
                <w:lang w:val="ro-RO"/>
              </w:rPr>
              <w:t xml:space="preserve"> 7 ani în </w:t>
            </w:r>
            <w:r w:rsidR="0034137E" w:rsidRPr="00F33055">
              <w:rPr>
                <w:rFonts w:ascii="Trebuchet MS" w:hAnsi="Trebuchet MS"/>
                <w:iCs/>
                <w:sz w:val="22"/>
                <w:szCs w:val="22"/>
                <w:lang w:val="ro-RO"/>
              </w:rPr>
              <w:t>funcția</w:t>
            </w:r>
            <w:r w:rsidR="008A4A11" w:rsidRPr="00F33055">
              <w:rPr>
                <w:rFonts w:ascii="Trebuchet MS" w:hAnsi="Trebuchet MS"/>
                <w:iCs/>
                <w:sz w:val="22"/>
                <w:szCs w:val="22"/>
                <w:lang w:val="ro-RO"/>
              </w:rPr>
              <w:t xml:space="preserve"> de procuror sau judecător şi să fi fost </w:t>
            </w:r>
            <w:r w:rsidR="0034137E" w:rsidRPr="00F33055">
              <w:rPr>
                <w:rFonts w:ascii="Trebuchet MS" w:hAnsi="Trebuchet MS"/>
                <w:iCs/>
                <w:sz w:val="22"/>
                <w:szCs w:val="22"/>
                <w:lang w:val="ro-RO"/>
              </w:rPr>
              <w:t>declarați</w:t>
            </w:r>
            <w:r w:rsidR="008A4A11" w:rsidRPr="00F33055">
              <w:rPr>
                <w:rFonts w:ascii="Trebuchet MS" w:hAnsi="Trebuchet MS"/>
                <w:iCs/>
                <w:sz w:val="22"/>
                <w:szCs w:val="22"/>
                <w:lang w:val="ro-RO"/>
              </w:rPr>
              <w:t xml:space="preserve"> </w:t>
            </w:r>
            <w:r w:rsidR="0034137E" w:rsidRPr="00F33055">
              <w:rPr>
                <w:rFonts w:ascii="Trebuchet MS" w:hAnsi="Trebuchet MS"/>
                <w:iCs/>
                <w:sz w:val="22"/>
                <w:szCs w:val="22"/>
                <w:lang w:val="ro-RO"/>
              </w:rPr>
              <w:t>admiși</w:t>
            </w:r>
            <w:r w:rsidR="008A4A11" w:rsidRPr="00F33055">
              <w:rPr>
                <w:rFonts w:ascii="Trebuchet MS" w:hAnsi="Trebuchet MS"/>
                <w:iCs/>
                <w:sz w:val="22"/>
                <w:szCs w:val="22"/>
                <w:lang w:val="ro-RO"/>
              </w:rPr>
              <w:t xml:space="preserve"> în urma unui concurs</w:t>
            </w:r>
            <w:r w:rsidR="008A4A11" w:rsidRPr="00F33055">
              <w:rPr>
                <w:rFonts w:ascii="Trebuchet MS" w:hAnsi="Trebuchet MS"/>
                <w:i/>
                <w:iCs/>
                <w:sz w:val="22"/>
                <w:szCs w:val="22"/>
                <w:lang w:val="ro-RO"/>
              </w:rPr>
              <w:t xml:space="preserve"> </w:t>
            </w:r>
            <w:r w:rsidR="008A4A11" w:rsidRPr="00F33055">
              <w:rPr>
                <w:rFonts w:ascii="Trebuchet MS" w:hAnsi="Trebuchet MS"/>
                <w:iCs/>
                <w:sz w:val="22"/>
                <w:szCs w:val="22"/>
                <w:lang w:val="ro-RO"/>
              </w:rPr>
              <w:t xml:space="preserve">organizat potrivit </w:t>
            </w:r>
            <w:r w:rsidR="0034137E" w:rsidRPr="00F33055">
              <w:rPr>
                <w:rFonts w:ascii="Trebuchet MS" w:hAnsi="Trebuchet MS"/>
                <w:iCs/>
                <w:sz w:val="22"/>
                <w:szCs w:val="22"/>
                <w:lang w:val="ro-RO"/>
              </w:rPr>
              <w:t>dispozițiilor</w:t>
            </w:r>
            <w:r w:rsidR="008A4A11" w:rsidRPr="00F33055">
              <w:rPr>
                <w:rFonts w:ascii="Trebuchet MS" w:hAnsi="Trebuchet MS"/>
                <w:iCs/>
                <w:sz w:val="22"/>
                <w:szCs w:val="22"/>
                <w:lang w:val="ro-RO"/>
              </w:rPr>
              <w:t xml:space="preserve"> leg</w:t>
            </w:r>
            <w:r w:rsidR="00314E2A" w:rsidRPr="00F33055">
              <w:rPr>
                <w:rFonts w:ascii="Trebuchet MS" w:hAnsi="Trebuchet MS"/>
                <w:iCs/>
                <w:sz w:val="22"/>
                <w:szCs w:val="22"/>
                <w:lang w:val="ro-RO"/>
              </w:rPr>
              <w:t>ale</w:t>
            </w:r>
            <w:r w:rsidR="008A4A11" w:rsidRPr="00F33055">
              <w:rPr>
                <w:rFonts w:ascii="Trebuchet MS" w:hAnsi="Trebuchet MS"/>
                <w:iCs/>
                <w:sz w:val="22"/>
                <w:szCs w:val="22"/>
                <w:lang w:val="ro-RO"/>
              </w:rPr>
              <w:t xml:space="preserve"> şi regulamentului aprobat prin ordin al procurorului general al Parchetului de pe lângă Înalta Curte de Casaţie şi </w:t>
            </w:r>
            <w:r w:rsidR="000D2EA2" w:rsidRPr="00F33055">
              <w:rPr>
                <w:rFonts w:ascii="Trebuchet MS" w:hAnsi="Trebuchet MS"/>
                <w:iCs/>
                <w:sz w:val="22"/>
                <w:szCs w:val="22"/>
                <w:lang w:val="ro-RO"/>
              </w:rPr>
              <w:t>Justiție</w:t>
            </w:r>
            <w:r w:rsidR="008A4A11" w:rsidRPr="00F33055">
              <w:rPr>
                <w:rFonts w:ascii="Trebuchet MS" w:hAnsi="Trebuchet MS"/>
                <w:iCs/>
                <w:sz w:val="22"/>
                <w:szCs w:val="22"/>
                <w:lang w:val="ro-RO"/>
              </w:rPr>
              <w:t xml:space="preserve">. Concursul este organizat de </w:t>
            </w:r>
            <w:r w:rsidR="0034137E" w:rsidRPr="00F33055">
              <w:rPr>
                <w:rFonts w:ascii="Trebuchet MS" w:hAnsi="Trebuchet MS"/>
                <w:iCs/>
                <w:sz w:val="22"/>
                <w:szCs w:val="22"/>
                <w:lang w:val="ro-RO"/>
              </w:rPr>
              <w:t>Direcția</w:t>
            </w:r>
            <w:r w:rsidR="008A4A11" w:rsidRPr="00F33055">
              <w:rPr>
                <w:rFonts w:ascii="Trebuchet MS" w:hAnsi="Trebuchet MS"/>
                <w:iCs/>
                <w:sz w:val="22"/>
                <w:szCs w:val="22"/>
                <w:lang w:val="ro-RO"/>
              </w:rPr>
              <w:t xml:space="preserve"> de Investigare a </w:t>
            </w:r>
            <w:r w:rsidR="00612AB5" w:rsidRPr="00F33055">
              <w:rPr>
                <w:rFonts w:ascii="Trebuchet MS" w:hAnsi="Trebuchet MS"/>
                <w:iCs/>
                <w:sz w:val="22"/>
                <w:szCs w:val="22"/>
                <w:lang w:val="ro-RO"/>
              </w:rPr>
              <w:t>Infracțiunilor</w:t>
            </w:r>
            <w:r w:rsidR="008A4A11" w:rsidRPr="00F33055">
              <w:rPr>
                <w:rFonts w:ascii="Trebuchet MS" w:hAnsi="Trebuchet MS"/>
                <w:iCs/>
                <w:sz w:val="22"/>
                <w:szCs w:val="22"/>
                <w:lang w:val="ro-RO"/>
              </w:rPr>
              <w:t xml:space="preserve"> de Criminalitate Organizată şi Terorism</w:t>
            </w:r>
            <w:r w:rsidR="0034137E" w:rsidRPr="00F33055">
              <w:rPr>
                <w:rFonts w:ascii="Trebuchet MS" w:hAnsi="Trebuchet MS"/>
                <w:iCs/>
                <w:sz w:val="22"/>
                <w:szCs w:val="22"/>
                <w:lang w:val="ro-RO"/>
              </w:rPr>
              <w:t xml:space="preserve">, respectiv de Direcția Națională Anticorupție </w:t>
            </w:r>
            <w:r w:rsidR="008A4A11" w:rsidRPr="00F33055">
              <w:rPr>
                <w:rFonts w:ascii="Trebuchet MS" w:hAnsi="Trebuchet MS"/>
                <w:iCs/>
                <w:sz w:val="22"/>
                <w:szCs w:val="22"/>
                <w:lang w:val="ro-RO"/>
              </w:rPr>
              <w:t xml:space="preserve">şi constă în </w:t>
            </w:r>
            <w:r w:rsidR="0034137E" w:rsidRPr="00F33055">
              <w:rPr>
                <w:rFonts w:ascii="Trebuchet MS" w:hAnsi="Trebuchet MS"/>
                <w:iCs/>
                <w:sz w:val="22"/>
                <w:szCs w:val="22"/>
                <w:lang w:val="ro-RO"/>
              </w:rPr>
              <w:t>susținerea</w:t>
            </w:r>
            <w:r w:rsidR="008A4A11" w:rsidRPr="00F33055">
              <w:rPr>
                <w:rFonts w:ascii="Trebuchet MS" w:hAnsi="Trebuchet MS"/>
                <w:iCs/>
                <w:sz w:val="22"/>
                <w:szCs w:val="22"/>
                <w:lang w:val="ro-RO"/>
              </w:rPr>
              <w:t xml:space="preserve"> unui interviu</w:t>
            </w:r>
            <w:bookmarkStart w:id="0" w:name="_GoBack"/>
            <w:bookmarkEnd w:id="0"/>
            <w:r w:rsidR="008A4A11" w:rsidRPr="00F33055">
              <w:rPr>
                <w:rFonts w:ascii="Trebuchet MS" w:hAnsi="Trebuchet MS"/>
                <w:iCs/>
                <w:sz w:val="22"/>
                <w:szCs w:val="22"/>
                <w:lang w:val="ro-RO"/>
              </w:rPr>
              <w:t>.</w:t>
            </w:r>
            <w:r w:rsidR="008A4A11" w:rsidRPr="00F33055">
              <w:rPr>
                <w:rFonts w:ascii="Trebuchet MS" w:hAnsi="Trebuchet MS"/>
                <w:sz w:val="22"/>
                <w:szCs w:val="22"/>
                <w:lang w:val="ro-RO"/>
              </w:rPr>
              <w:t xml:space="preserve"> </w:t>
            </w:r>
          </w:p>
          <w:p w:rsidR="0034137E" w:rsidRPr="00F33055" w:rsidRDefault="0034137E"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Proiectul propus detaliază regulile de organizare a concursului, componenţa comisiilor de concurs, </w:t>
            </w:r>
            <w:r w:rsidR="00D80D15" w:rsidRPr="00F33055">
              <w:rPr>
                <w:rFonts w:ascii="Trebuchet MS" w:hAnsi="Trebuchet MS"/>
                <w:sz w:val="22"/>
                <w:szCs w:val="22"/>
                <w:lang w:val="ro-RO"/>
              </w:rPr>
              <w:t xml:space="preserve">procedura de notare </w:t>
            </w:r>
            <w:r w:rsidR="00612AB5" w:rsidRPr="00F33055">
              <w:rPr>
                <w:rFonts w:ascii="Trebuchet MS" w:hAnsi="Trebuchet MS"/>
                <w:sz w:val="22"/>
                <w:szCs w:val="22"/>
                <w:lang w:val="ro-RO"/>
              </w:rPr>
              <w:t>și</w:t>
            </w:r>
            <w:r w:rsidR="00D80D15" w:rsidRPr="00F33055">
              <w:rPr>
                <w:rFonts w:ascii="Trebuchet MS" w:hAnsi="Trebuchet MS"/>
                <w:sz w:val="22"/>
                <w:szCs w:val="22"/>
                <w:lang w:val="ro-RO"/>
              </w:rPr>
              <w:t xml:space="preserve"> </w:t>
            </w:r>
            <w:r w:rsidRPr="00F33055">
              <w:rPr>
                <w:rFonts w:ascii="Trebuchet MS" w:hAnsi="Trebuchet MS"/>
                <w:sz w:val="22"/>
                <w:szCs w:val="22"/>
                <w:lang w:val="ro-RO"/>
              </w:rPr>
              <w:t>contestarea rezultatelor.</w:t>
            </w:r>
          </w:p>
          <w:p w:rsidR="00DB227D" w:rsidRPr="00DB227D" w:rsidRDefault="00A355A5" w:rsidP="00DB227D">
            <w:pPr>
              <w:tabs>
                <w:tab w:val="left" w:pos="8175"/>
                <w:tab w:val="left" w:pos="8505"/>
                <w:tab w:val="left" w:pos="8647"/>
                <w:tab w:val="left" w:pos="8930"/>
              </w:tabs>
              <w:spacing w:line="276" w:lineRule="auto"/>
              <w:jc w:val="both"/>
              <w:rPr>
                <w:rFonts w:ascii="Trebuchet MS" w:hAnsi="Trebuchet MS"/>
                <w:sz w:val="22"/>
                <w:szCs w:val="22"/>
                <w:lang w:val="ro-RO"/>
              </w:rPr>
            </w:pPr>
            <w:r w:rsidRPr="00DB227D">
              <w:rPr>
                <w:rFonts w:ascii="Trebuchet MS" w:hAnsi="Trebuchet MS"/>
                <w:sz w:val="22"/>
                <w:szCs w:val="22"/>
                <w:lang w:val="ro-RO"/>
              </w:rPr>
              <w:t>- Pentru aceleaşi considerente, proiectul reglementează cu caracter de noutate procedura de numire în funcție a directorului şi directorilor adjuncţi ai Institutului Naţional al Magistraturii</w:t>
            </w:r>
            <w:r w:rsidR="00E461D4" w:rsidRPr="00DB227D">
              <w:rPr>
                <w:rFonts w:ascii="Trebuchet MS" w:hAnsi="Trebuchet MS"/>
                <w:sz w:val="22"/>
                <w:szCs w:val="22"/>
                <w:lang w:val="ro-RO"/>
              </w:rPr>
              <w:t>, precum şi dispoziții de principiu referitoare la recrutarea şi cariera managerilor economici.</w:t>
            </w:r>
          </w:p>
          <w:p w:rsidR="00DB227D" w:rsidRPr="002F62A5" w:rsidRDefault="00E461D4" w:rsidP="00DB227D">
            <w:pPr>
              <w:tabs>
                <w:tab w:val="left" w:pos="8175"/>
                <w:tab w:val="left" w:pos="8505"/>
                <w:tab w:val="left" w:pos="8647"/>
                <w:tab w:val="left" w:pos="8930"/>
              </w:tabs>
              <w:spacing w:line="276" w:lineRule="auto"/>
              <w:jc w:val="both"/>
              <w:rPr>
                <w:rFonts w:ascii="Trebuchet MS" w:hAnsi="Trebuchet MS"/>
                <w:bCs/>
                <w:lang w:val="ro-RO"/>
              </w:rPr>
            </w:pPr>
            <w:r w:rsidRPr="00DB227D">
              <w:rPr>
                <w:rFonts w:ascii="Trebuchet MS" w:hAnsi="Trebuchet MS"/>
                <w:sz w:val="22"/>
                <w:szCs w:val="22"/>
                <w:lang w:val="ro-RO"/>
              </w:rPr>
              <w:t xml:space="preserve">- </w:t>
            </w:r>
            <w:r w:rsidR="00DB227D" w:rsidRPr="00DB227D">
              <w:rPr>
                <w:rFonts w:ascii="Trebuchet MS" w:hAnsi="Trebuchet MS"/>
                <w:bCs/>
                <w:sz w:val="22"/>
                <w:szCs w:val="22"/>
                <w:lang w:val="ro-RO"/>
              </w:rPr>
              <w:t>Având în vedere creşterii competenţelor Consiliului ştiinţific al Institutului Naţional al Magistraturii în materia concursuri</w:t>
            </w:r>
            <w:r w:rsidR="00DB227D">
              <w:rPr>
                <w:rFonts w:ascii="Trebuchet MS" w:hAnsi="Trebuchet MS"/>
                <w:bCs/>
                <w:sz w:val="22"/>
                <w:szCs w:val="22"/>
                <w:lang w:val="ro-RO"/>
              </w:rPr>
              <w:t>lor reglementate de lege</w:t>
            </w:r>
            <w:r w:rsidR="00DB227D" w:rsidRPr="00DB227D">
              <w:rPr>
                <w:rFonts w:ascii="Trebuchet MS" w:hAnsi="Trebuchet MS"/>
                <w:bCs/>
                <w:sz w:val="22"/>
                <w:szCs w:val="22"/>
                <w:lang w:val="ro-RO"/>
              </w:rPr>
              <w:t xml:space="preserve">, proiectul de lege stabileşte o nouă componenţă a acestuia, cu reprezentarea </w:t>
            </w:r>
            <w:r w:rsidR="00896BAD">
              <w:rPr>
                <w:rFonts w:ascii="Trebuchet MS" w:hAnsi="Trebuchet MS"/>
                <w:bCs/>
                <w:sz w:val="22"/>
                <w:szCs w:val="22"/>
                <w:lang w:val="ro-RO"/>
              </w:rPr>
              <w:t xml:space="preserve">adecvată, majoritară, </w:t>
            </w:r>
            <w:r w:rsidR="00DB227D" w:rsidRPr="00DB227D">
              <w:rPr>
                <w:rFonts w:ascii="Trebuchet MS" w:hAnsi="Trebuchet MS"/>
                <w:bCs/>
                <w:sz w:val="22"/>
                <w:szCs w:val="22"/>
                <w:lang w:val="ro-RO"/>
              </w:rPr>
              <w:t>a magistraţilor</w:t>
            </w:r>
            <w:r w:rsidR="00896BAD">
              <w:rPr>
                <w:rFonts w:ascii="Trebuchet MS" w:hAnsi="Trebuchet MS"/>
                <w:bCs/>
                <w:sz w:val="22"/>
                <w:szCs w:val="22"/>
                <w:lang w:val="ro-RO"/>
              </w:rPr>
              <w:t xml:space="preserve"> în cadrul consiliului</w:t>
            </w:r>
            <w:r w:rsidR="00DB227D" w:rsidRPr="00DB227D">
              <w:rPr>
                <w:rFonts w:ascii="Trebuchet MS" w:hAnsi="Trebuchet MS"/>
                <w:bCs/>
                <w:sz w:val="22"/>
                <w:szCs w:val="22"/>
                <w:lang w:val="ro-RO"/>
              </w:rPr>
              <w:t>.</w:t>
            </w:r>
          </w:p>
          <w:p w:rsidR="00410ABB" w:rsidRPr="00F33055" w:rsidRDefault="00314E2A" w:rsidP="006460D9">
            <w:pPr>
              <w:tabs>
                <w:tab w:val="left" w:pos="8175"/>
                <w:tab w:val="left" w:pos="8505"/>
                <w:tab w:val="left" w:pos="8647"/>
                <w:tab w:val="left" w:pos="8930"/>
              </w:tabs>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 </w:t>
            </w:r>
            <w:r w:rsidR="00612AB5" w:rsidRPr="00F33055">
              <w:rPr>
                <w:rFonts w:ascii="Trebuchet MS" w:hAnsi="Trebuchet MS"/>
                <w:sz w:val="22"/>
                <w:szCs w:val="22"/>
                <w:lang w:val="ro-RO"/>
              </w:rPr>
              <w:t>În materia raporturilor de serviciu ale asistenților</w:t>
            </w:r>
            <w:r w:rsidR="008A4A11" w:rsidRPr="00F33055">
              <w:rPr>
                <w:rFonts w:ascii="Trebuchet MS" w:hAnsi="Trebuchet MS"/>
                <w:sz w:val="22"/>
                <w:szCs w:val="22"/>
                <w:lang w:val="ro-RO"/>
              </w:rPr>
              <w:t xml:space="preserve"> judiciari</w:t>
            </w:r>
            <w:r w:rsidR="00612AB5" w:rsidRPr="00F33055">
              <w:rPr>
                <w:rFonts w:ascii="Trebuchet MS" w:hAnsi="Trebuchet MS"/>
                <w:sz w:val="22"/>
                <w:szCs w:val="22"/>
                <w:lang w:val="ro-RO"/>
              </w:rPr>
              <w:t xml:space="preserve">, proiectul detaliază procedura disciplinară aplicabilă pentru cercetarea și sancționarea abaterilor disciplinare săvârșite de aceștia. </w:t>
            </w:r>
            <w:r w:rsidR="008A4A11" w:rsidRPr="00F33055">
              <w:rPr>
                <w:rFonts w:ascii="Trebuchet MS" w:hAnsi="Trebuchet MS"/>
                <w:sz w:val="22"/>
                <w:szCs w:val="22"/>
                <w:lang w:val="ro-RO"/>
              </w:rPr>
              <w:t xml:space="preserve"> </w:t>
            </w:r>
          </w:p>
          <w:p w:rsidR="00CB23A7" w:rsidRPr="00F33055" w:rsidRDefault="0076497F" w:rsidP="006460D9">
            <w:pPr>
              <w:autoSpaceDE w:val="0"/>
              <w:autoSpaceDN w:val="0"/>
              <w:adjustRightInd w:val="0"/>
              <w:spacing w:line="276" w:lineRule="auto"/>
              <w:jc w:val="both"/>
              <w:rPr>
                <w:rFonts w:ascii="Trebuchet MS" w:hAnsi="Trebuchet MS"/>
                <w:iCs/>
                <w:sz w:val="22"/>
                <w:szCs w:val="22"/>
                <w:lang w:val="ro-RO"/>
              </w:rPr>
            </w:pPr>
            <w:r w:rsidRPr="00F33055">
              <w:rPr>
                <w:rFonts w:ascii="Trebuchet MS" w:hAnsi="Trebuchet MS"/>
                <w:iCs/>
                <w:sz w:val="22"/>
                <w:szCs w:val="22"/>
                <w:lang w:val="ro-RO"/>
              </w:rPr>
              <w:t xml:space="preserve">- </w:t>
            </w:r>
            <w:r w:rsidR="00A355A5" w:rsidRPr="00F33055">
              <w:rPr>
                <w:rFonts w:ascii="Trebuchet MS" w:hAnsi="Trebuchet MS"/>
                <w:iCs/>
                <w:sz w:val="22"/>
                <w:szCs w:val="22"/>
                <w:lang w:val="ro-RO"/>
              </w:rPr>
              <w:t>P</w:t>
            </w:r>
            <w:r w:rsidR="000D2EA2" w:rsidRPr="00F33055">
              <w:rPr>
                <w:rFonts w:ascii="Trebuchet MS" w:hAnsi="Trebuchet MS"/>
                <w:iCs/>
                <w:sz w:val="22"/>
                <w:szCs w:val="22"/>
                <w:lang w:val="ro-RO"/>
              </w:rPr>
              <w:t xml:space="preserve">roiectul de lege propune uniformizare </w:t>
            </w:r>
            <w:r w:rsidR="004545DF" w:rsidRPr="00F33055">
              <w:rPr>
                <w:rFonts w:ascii="Trebuchet MS" w:hAnsi="Trebuchet MS"/>
                <w:iCs/>
                <w:sz w:val="22"/>
                <w:szCs w:val="22"/>
                <w:lang w:val="ro-RO"/>
              </w:rPr>
              <w:t>normelor referitoare la s</w:t>
            </w:r>
            <w:r w:rsidR="008A4A11" w:rsidRPr="00F33055">
              <w:rPr>
                <w:rFonts w:ascii="Trebuchet MS" w:hAnsi="Trebuchet MS"/>
                <w:iCs/>
                <w:sz w:val="22"/>
                <w:szCs w:val="22"/>
                <w:lang w:val="ro-RO"/>
              </w:rPr>
              <w:t>alariul de bază</w:t>
            </w:r>
            <w:r w:rsidR="009F1F95" w:rsidRPr="00F33055">
              <w:rPr>
                <w:rFonts w:ascii="Trebuchet MS" w:hAnsi="Trebuchet MS"/>
                <w:iCs/>
                <w:sz w:val="22"/>
                <w:szCs w:val="22"/>
                <w:lang w:val="ro-RO"/>
              </w:rPr>
              <w:t>,</w:t>
            </w:r>
            <w:r w:rsidR="008A4A11" w:rsidRPr="00F33055">
              <w:rPr>
                <w:rFonts w:ascii="Trebuchet MS" w:hAnsi="Trebuchet MS"/>
                <w:iCs/>
                <w:sz w:val="22"/>
                <w:szCs w:val="22"/>
                <w:lang w:val="ro-RO"/>
              </w:rPr>
              <w:t xml:space="preserve"> sporurile</w:t>
            </w:r>
            <w:r w:rsidR="009F1F95" w:rsidRPr="00F33055">
              <w:rPr>
                <w:rFonts w:ascii="Trebuchet MS" w:hAnsi="Trebuchet MS"/>
                <w:iCs/>
                <w:sz w:val="22"/>
                <w:szCs w:val="22"/>
                <w:lang w:val="ro-RO"/>
              </w:rPr>
              <w:t xml:space="preserve"> şi drepturile </w:t>
            </w:r>
            <w:r w:rsidR="00A8673D" w:rsidRPr="00F33055">
              <w:rPr>
                <w:rFonts w:ascii="Trebuchet MS" w:hAnsi="Trebuchet MS"/>
                <w:iCs/>
                <w:sz w:val="22"/>
                <w:szCs w:val="22"/>
                <w:lang w:val="ro-RO"/>
              </w:rPr>
              <w:t>ofițerilor</w:t>
            </w:r>
            <w:r w:rsidR="008A4A11" w:rsidRPr="00F33055">
              <w:rPr>
                <w:rFonts w:ascii="Trebuchet MS" w:hAnsi="Trebuchet MS"/>
                <w:iCs/>
                <w:sz w:val="22"/>
                <w:szCs w:val="22"/>
                <w:lang w:val="ro-RO"/>
              </w:rPr>
              <w:t xml:space="preserve"> şi </w:t>
            </w:r>
            <w:r w:rsidR="00A8673D" w:rsidRPr="00F33055">
              <w:rPr>
                <w:rFonts w:ascii="Trebuchet MS" w:hAnsi="Trebuchet MS"/>
                <w:iCs/>
                <w:sz w:val="22"/>
                <w:szCs w:val="22"/>
                <w:lang w:val="ro-RO"/>
              </w:rPr>
              <w:t>agenților</w:t>
            </w:r>
            <w:r w:rsidR="008A4A11" w:rsidRPr="00F33055">
              <w:rPr>
                <w:rFonts w:ascii="Trebuchet MS" w:hAnsi="Trebuchet MS"/>
                <w:iCs/>
                <w:sz w:val="22"/>
                <w:szCs w:val="22"/>
                <w:lang w:val="ro-RO"/>
              </w:rPr>
              <w:t xml:space="preserve"> de </w:t>
            </w:r>
            <w:r w:rsidR="00A8673D" w:rsidRPr="00F33055">
              <w:rPr>
                <w:rFonts w:ascii="Trebuchet MS" w:hAnsi="Trebuchet MS"/>
                <w:iCs/>
                <w:sz w:val="22"/>
                <w:szCs w:val="22"/>
                <w:lang w:val="ro-RO"/>
              </w:rPr>
              <w:t>poliție</w:t>
            </w:r>
            <w:r w:rsidR="008A4A11" w:rsidRPr="00F33055">
              <w:rPr>
                <w:rFonts w:ascii="Trebuchet MS" w:hAnsi="Trebuchet MS"/>
                <w:iCs/>
                <w:sz w:val="22"/>
                <w:szCs w:val="22"/>
                <w:lang w:val="ro-RO"/>
              </w:rPr>
              <w:t xml:space="preserve"> judiciară </w:t>
            </w:r>
            <w:r w:rsidR="00A8673D" w:rsidRPr="00F33055">
              <w:rPr>
                <w:rFonts w:ascii="Trebuchet MS" w:hAnsi="Trebuchet MS"/>
                <w:iCs/>
                <w:sz w:val="22"/>
                <w:szCs w:val="22"/>
                <w:lang w:val="ro-RO"/>
              </w:rPr>
              <w:t>detașați</w:t>
            </w:r>
            <w:r w:rsidR="004545DF" w:rsidRPr="00F33055">
              <w:rPr>
                <w:rFonts w:ascii="Trebuchet MS" w:hAnsi="Trebuchet MS"/>
                <w:iCs/>
                <w:sz w:val="22"/>
                <w:szCs w:val="22"/>
                <w:lang w:val="ro-RO"/>
              </w:rPr>
              <w:t xml:space="preserve"> în cadrul </w:t>
            </w:r>
            <w:r w:rsidR="00A8673D" w:rsidRPr="00F33055">
              <w:rPr>
                <w:rFonts w:ascii="Trebuchet MS" w:hAnsi="Trebuchet MS"/>
                <w:iCs/>
                <w:sz w:val="22"/>
                <w:szCs w:val="22"/>
                <w:lang w:val="ro-RO"/>
              </w:rPr>
              <w:t>Ministerului Public, stabilind faptul că</w:t>
            </w:r>
            <w:r w:rsidR="006B3DA9">
              <w:rPr>
                <w:rFonts w:ascii="Trebuchet MS" w:hAnsi="Trebuchet MS"/>
                <w:iCs/>
                <w:sz w:val="22"/>
                <w:szCs w:val="22"/>
                <w:lang w:val="ro-RO"/>
              </w:rPr>
              <w:t xml:space="preserve">, din </w:t>
            </w:r>
            <w:r w:rsidR="006B3DA9">
              <w:rPr>
                <w:rFonts w:ascii="Trebuchet MS" w:hAnsi="Trebuchet MS"/>
                <w:iCs/>
                <w:sz w:val="22"/>
                <w:szCs w:val="22"/>
                <w:lang w:val="ro-RO"/>
              </w:rPr>
              <w:lastRenderedPageBreak/>
              <w:t>considerente de echitate,</w:t>
            </w:r>
            <w:r w:rsidR="00A8673D" w:rsidRPr="00F33055">
              <w:rPr>
                <w:rFonts w:ascii="Trebuchet MS" w:hAnsi="Trebuchet MS"/>
                <w:iCs/>
                <w:sz w:val="22"/>
                <w:szCs w:val="22"/>
                <w:lang w:val="ro-RO"/>
              </w:rPr>
              <w:t xml:space="preserve"> salariul de bază şi sporurile </w:t>
            </w:r>
            <w:r w:rsidR="00A355A5" w:rsidRPr="00F33055">
              <w:rPr>
                <w:rFonts w:ascii="Trebuchet MS" w:hAnsi="Trebuchet MS"/>
                <w:iCs/>
                <w:sz w:val="22"/>
                <w:szCs w:val="22"/>
                <w:lang w:val="ro-RO"/>
              </w:rPr>
              <w:t xml:space="preserve">tuturor </w:t>
            </w:r>
            <w:r w:rsidR="00A8673D" w:rsidRPr="00F33055">
              <w:rPr>
                <w:rFonts w:ascii="Trebuchet MS" w:hAnsi="Trebuchet MS"/>
                <w:iCs/>
                <w:sz w:val="22"/>
                <w:szCs w:val="22"/>
                <w:lang w:val="ro-RO"/>
              </w:rPr>
              <w:t>ofițerilor şi agenţilor de poliţie judiciară detaşaţi în cadrul parchetelor sunt cele prevăzute pentru ofiţerii şi agenţii de poliţie judiciară din cadrul Direcţiei Naţionale Anticorupţie</w:t>
            </w:r>
            <w:r w:rsidR="006B3DA9">
              <w:rPr>
                <w:rFonts w:ascii="Trebuchet MS" w:hAnsi="Trebuchet MS"/>
                <w:iCs/>
                <w:sz w:val="22"/>
                <w:szCs w:val="22"/>
                <w:lang w:val="ro-RO"/>
              </w:rPr>
              <w:t>.</w:t>
            </w:r>
            <w:r w:rsidR="00C76A2E" w:rsidRPr="00F33055">
              <w:rPr>
                <w:rFonts w:ascii="Trebuchet MS" w:hAnsi="Trebuchet MS"/>
                <w:iCs/>
                <w:sz w:val="22"/>
                <w:szCs w:val="22"/>
                <w:lang w:val="ro-RO"/>
              </w:rPr>
              <w:t xml:space="preserve"> </w:t>
            </w:r>
          </w:p>
          <w:p w:rsidR="00A8673D" w:rsidRPr="00F33055" w:rsidRDefault="00CB23A7" w:rsidP="006460D9">
            <w:pPr>
              <w:autoSpaceDE w:val="0"/>
              <w:autoSpaceDN w:val="0"/>
              <w:adjustRightInd w:val="0"/>
              <w:spacing w:line="276" w:lineRule="auto"/>
              <w:jc w:val="both"/>
              <w:rPr>
                <w:rFonts w:ascii="Trebuchet MS" w:eastAsiaTheme="minorHAnsi" w:hAnsi="Trebuchet MS"/>
                <w:sz w:val="22"/>
                <w:szCs w:val="22"/>
                <w:lang w:val="ro-RO"/>
              </w:rPr>
            </w:pPr>
            <w:r w:rsidRPr="00F33055">
              <w:rPr>
                <w:rFonts w:ascii="Trebuchet MS" w:hAnsi="Trebuchet MS"/>
                <w:iCs/>
                <w:sz w:val="22"/>
                <w:szCs w:val="22"/>
                <w:lang w:val="ro-RO"/>
              </w:rPr>
              <w:t>-</w:t>
            </w:r>
            <w:r w:rsidR="00A8673D" w:rsidRPr="00F33055">
              <w:rPr>
                <w:rFonts w:ascii="Trebuchet MS" w:hAnsi="Trebuchet MS"/>
                <w:iCs/>
                <w:sz w:val="22"/>
                <w:szCs w:val="22"/>
                <w:lang w:val="ro-RO"/>
              </w:rPr>
              <w:t xml:space="preserve"> </w:t>
            </w:r>
            <w:r w:rsidR="00A8673D" w:rsidRPr="00F33055">
              <w:rPr>
                <w:rFonts w:ascii="Trebuchet MS" w:hAnsi="Trebuchet MS"/>
                <w:sz w:val="22"/>
                <w:szCs w:val="22"/>
                <w:shd w:val="clear" w:color="auto" w:fill="FFFFFF"/>
                <w:lang w:val="ro-RO"/>
              </w:rPr>
              <w:t xml:space="preserve">Potrivit </w:t>
            </w:r>
            <w:r w:rsidR="000A5585" w:rsidRPr="00F33055">
              <w:rPr>
                <w:rFonts w:ascii="Trebuchet MS" w:hAnsi="Trebuchet MS"/>
                <w:sz w:val="22"/>
                <w:szCs w:val="22"/>
                <w:shd w:val="clear" w:color="auto" w:fill="FFFFFF"/>
                <w:lang w:val="ro-RO"/>
              </w:rPr>
              <w:t>art. 13</w:t>
            </w:r>
            <w:r w:rsidR="007E1095" w:rsidRPr="00F33055">
              <w:rPr>
                <w:rFonts w:ascii="Trebuchet MS" w:hAnsi="Trebuchet MS"/>
                <w:sz w:val="22"/>
                <w:szCs w:val="22"/>
                <w:shd w:val="clear" w:color="auto" w:fill="FFFFFF"/>
                <w:lang w:val="ro-RO"/>
              </w:rPr>
              <w:t>9</w:t>
            </w:r>
            <w:r w:rsidR="000A5585" w:rsidRPr="00F33055">
              <w:rPr>
                <w:rFonts w:ascii="Trebuchet MS" w:hAnsi="Trebuchet MS"/>
                <w:sz w:val="22"/>
                <w:szCs w:val="22"/>
                <w:shd w:val="clear" w:color="auto" w:fill="FFFFFF"/>
                <w:lang w:val="ro-RO"/>
              </w:rPr>
              <w:t xml:space="preserve"> alin. (2) </w:t>
            </w:r>
            <w:r w:rsidR="007E1095" w:rsidRPr="00F33055">
              <w:rPr>
                <w:rFonts w:ascii="Trebuchet MS" w:hAnsi="Trebuchet MS"/>
                <w:sz w:val="22"/>
                <w:szCs w:val="22"/>
                <w:shd w:val="clear" w:color="auto" w:fill="FFFFFF"/>
                <w:lang w:val="ro-RO"/>
              </w:rPr>
              <w:t xml:space="preserve">şi </w:t>
            </w:r>
            <w:r w:rsidR="00A8673D" w:rsidRPr="00F33055">
              <w:rPr>
                <w:rFonts w:ascii="Trebuchet MS" w:hAnsi="Trebuchet MS"/>
                <w:sz w:val="22"/>
                <w:szCs w:val="22"/>
                <w:shd w:val="clear" w:color="auto" w:fill="FFFFFF"/>
                <w:lang w:val="ro-RO"/>
              </w:rPr>
              <w:t xml:space="preserve">art. 140 alin. (2) din Legea nr. 304/2004, </w:t>
            </w:r>
            <w:r w:rsidR="007E1095" w:rsidRPr="00F33055">
              <w:rPr>
                <w:rFonts w:ascii="Trebuchet MS" w:hAnsi="Trebuchet MS"/>
                <w:sz w:val="22"/>
                <w:szCs w:val="22"/>
                <w:shd w:val="clear" w:color="auto" w:fill="FFFFFF"/>
                <w:lang w:val="ro-RO"/>
              </w:rPr>
              <w:t>r</w:t>
            </w:r>
            <w:r w:rsidR="007E1095" w:rsidRPr="00F33055">
              <w:rPr>
                <w:rFonts w:ascii="Trebuchet MS" w:eastAsiaTheme="minorHAnsi" w:hAnsi="Trebuchet MS"/>
                <w:iCs/>
                <w:sz w:val="22"/>
                <w:szCs w:val="22"/>
                <w:lang w:val="ro-RO"/>
              </w:rPr>
              <w:t xml:space="preserve">egulamentul de ordine interioară al instanțelor judecătorești se aprobă de Secția pentru judecători a Consiliului Superior al Magistraturii, prin hotărâre care se publică în Monitorul Oficial al României, Partea I, iar </w:t>
            </w:r>
            <w:r w:rsidR="00A8673D" w:rsidRPr="00F33055">
              <w:rPr>
                <w:rFonts w:ascii="Trebuchet MS" w:hAnsi="Trebuchet MS"/>
                <w:sz w:val="22"/>
                <w:szCs w:val="22"/>
                <w:shd w:val="clear" w:color="auto" w:fill="FFFFFF"/>
                <w:lang w:val="ro-RO"/>
              </w:rPr>
              <w:t>r</w:t>
            </w:r>
            <w:r w:rsidR="00A8673D" w:rsidRPr="00F33055">
              <w:rPr>
                <w:rFonts w:ascii="Trebuchet MS" w:hAnsi="Trebuchet MS"/>
                <w:iCs/>
                <w:sz w:val="22"/>
                <w:szCs w:val="22"/>
                <w:lang w:val="ro-RO"/>
              </w:rPr>
              <w:t xml:space="preserve">egulamentul de ordine interioară a parchetelor </w:t>
            </w:r>
            <w:r w:rsidR="00A8673D" w:rsidRPr="00F33055">
              <w:rPr>
                <w:rFonts w:ascii="Trebuchet MS" w:eastAsiaTheme="minorHAnsi" w:hAnsi="Trebuchet MS"/>
                <w:iCs/>
                <w:sz w:val="22"/>
                <w:szCs w:val="22"/>
                <w:lang w:val="ro-RO"/>
              </w:rPr>
              <w:t xml:space="preserve">se aprobă de </w:t>
            </w:r>
            <w:r w:rsidR="007E1095" w:rsidRPr="00F33055">
              <w:rPr>
                <w:rFonts w:ascii="Trebuchet MS" w:eastAsiaTheme="minorHAnsi" w:hAnsi="Trebuchet MS"/>
                <w:iCs/>
                <w:sz w:val="22"/>
                <w:szCs w:val="22"/>
                <w:lang w:val="ro-RO"/>
              </w:rPr>
              <w:t>Secția</w:t>
            </w:r>
            <w:r w:rsidR="00A8673D" w:rsidRPr="00F33055">
              <w:rPr>
                <w:rFonts w:ascii="Trebuchet MS" w:eastAsiaTheme="minorHAnsi" w:hAnsi="Trebuchet MS"/>
                <w:iCs/>
                <w:sz w:val="22"/>
                <w:szCs w:val="22"/>
                <w:lang w:val="ro-RO"/>
              </w:rPr>
              <w:t xml:space="preserve"> pentru procurori a Consiliului Superior al Magistraturii, la propunerea procurorului general al Parchetului de pe lângă Înalta Curte de Casaţie şi </w:t>
            </w:r>
            <w:r w:rsidR="007E1095" w:rsidRPr="00F33055">
              <w:rPr>
                <w:rFonts w:ascii="Trebuchet MS" w:eastAsiaTheme="minorHAnsi" w:hAnsi="Trebuchet MS"/>
                <w:iCs/>
                <w:sz w:val="22"/>
                <w:szCs w:val="22"/>
                <w:lang w:val="ro-RO"/>
              </w:rPr>
              <w:t>Justiție</w:t>
            </w:r>
            <w:r w:rsidR="00A8673D" w:rsidRPr="00F33055">
              <w:rPr>
                <w:rFonts w:ascii="Trebuchet MS" w:eastAsiaTheme="minorHAnsi" w:hAnsi="Trebuchet MS"/>
                <w:iCs/>
                <w:sz w:val="22"/>
                <w:szCs w:val="22"/>
                <w:lang w:val="ro-RO"/>
              </w:rPr>
              <w:t xml:space="preserve"> sau, după caz, a procurorului-şef al </w:t>
            </w:r>
            <w:r w:rsidR="007E1095" w:rsidRPr="00F33055">
              <w:rPr>
                <w:rFonts w:ascii="Trebuchet MS" w:eastAsiaTheme="minorHAnsi" w:hAnsi="Trebuchet MS"/>
                <w:iCs/>
                <w:sz w:val="22"/>
                <w:szCs w:val="22"/>
                <w:lang w:val="ro-RO"/>
              </w:rPr>
              <w:t>Direcției</w:t>
            </w:r>
            <w:r w:rsidR="00A8673D" w:rsidRPr="00F33055">
              <w:rPr>
                <w:rFonts w:ascii="Trebuchet MS" w:eastAsiaTheme="minorHAnsi" w:hAnsi="Trebuchet MS"/>
                <w:iCs/>
                <w:sz w:val="22"/>
                <w:szCs w:val="22"/>
                <w:lang w:val="ro-RO"/>
              </w:rPr>
              <w:t xml:space="preserve"> </w:t>
            </w:r>
            <w:r w:rsidR="007E1095" w:rsidRPr="00F33055">
              <w:rPr>
                <w:rFonts w:ascii="Trebuchet MS" w:eastAsiaTheme="minorHAnsi" w:hAnsi="Trebuchet MS"/>
                <w:iCs/>
                <w:sz w:val="22"/>
                <w:szCs w:val="22"/>
                <w:lang w:val="ro-RO"/>
              </w:rPr>
              <w:t>Naționale</w:t>
            </w:r>
            <w:r w:rsidR="00A8673D" w:rsidRPr="00F33055">
              <w:rPr>
                <w:rFonts w:ascii="Trebuchet MS" w:eastAsiaTheme="minorHAnsi" w:hAnsi="Trebuchet MS"/>
                <w:iCs/>
                <w:sz w:val="22"/>
                <w:szCs w:val="22"/>
                <w:lang w:val="ro-RO"/>
              </w:rPr>
              <w:t xml:space="preserve"> Anticorupţie ori a procurorului-şef al Direcţiei de Investigare a </w:t>
            </w:r>
            <w:r w:rsidR="007E1095" w:rsidRPr="00F33055">
              <w:rPr>
                <w:rFonts w:ascii="Trebuchet MS" w:eastAsiaTheme="minorHAnsi" w:hAnsi="Trebuchet MS"/>
                <w:iCs/>
                <w:sz w:val="22"/>
                <w:szCs w:val="22"/>
                <w:lang w:val="ro-RO"/>
              </w:rPr>
              <w:t>Infracțiunilor</w:t>
            </w:r>
            <w:r w:rsidR="00A8673D" w:rsidRPr="00F33055">
              <w:rPr>
                <w:rFonts w:ascii="Trebuchet MS" w:eastAsiaTheme="minorHAnsi" w:hAnsi="Trebuchet MS"/>
                <w:iCs/>
                <w:sz w:val="22"/>
                <w:szCs w:val="22"/>
                <w:lang w:val="ro-RO"/>
              </w:rPr>
              <w:t xml:space="preserve"> de Criminalitate Organizată şi Terorism, cu avizul ministrului </w:t>
            </w:r>
            <w:r w:rsidR="007E1095" w:rsidRPr="00F33055">
              <w:rPr>
                <w:rFonts w:ascii="Trebuchet MS" w:eastAsiaTheme="minorHAnsi" w:hAnsi="Trebuchet MS"/>
                <w:iCs/>
                <w:sz w:val="22"/>
                <w:szCs w:val="22"/>
                <w:lang w:val="ro-RO"/>
              </w:rPr>
              <w:t>justiției</w:t>
            </w:r>
            <w:r w:rsidR="00A8673D" w:rsidRPr="00F33055">
              <w:rPr>
                <w:rFonts w:ascii="Trebuchet MS" w:eastAsiaTheme="minorHAnsi" w:hAnsi="Trebuchet MS"/>
                <w:iCs/>
                <w:sz w:val="22"/>
                <w:szCs w:val="22"/>
                <w:lang w:val="ro-RO"/>
              </w:rPr>
              <w:t>.</w:t>
            </w:r>
          </w:p>
          <w:p w:rsidR="00A8673D" w:rsidRPr="00F33055" w:rsidRDefault="00A8673D" w:rsidP="006460D9">
            <w:pPr>
              <w:autoSpaceDE w:val="0"/>
              <w:autoSpaceDN w:val="0"/>
              <w:adjustRightInd w:val="0"/>
              <w:spacing w:line="276" w:lineRule="auto"/>
              <w:jc w:val="both"/>
              <w:rPr>
                <w:rFonts w:ascii="Trebuchet MS" w:hAnsi="Trebuchet MS" w:cs="Arial"/>
                <w:sz w:val="22"/>
                <w:szCs w:val="22"/>
                <w:lang w:val="ro-RO"/>
              </w:rPr>
            </w:pPr>
            <w:r w:rsidRPr="00F33055">
              <w:rPr>
                <w:rFonts w:ascii="Trebuchet MS" w:hAnsi="Trebuchet MS" w:cs="Arial"/>
                <w:sz w:val="22"/>
                <w:szCs w:val="22"/>
                <w:lang w:val="ro-RO"/>
              </w:rPr>
              <w:t xml:space="preserve">Ministrul justiției are, potrivit </w:t>
            </w:r>
            <w:r w:rsidR="007E1095" w:rsidRPr="00F33055">
              <w:rPr>
                <w:rFonts w:ascii="Trebuchet MS" w:hAnsi="Trebuchet MS" w:cs="Arial"/>
                <w:sz w:val="22"/>
                <w:szCs w:val="22"/>
                <w:lang w:val="ro-RO"/>
              </w:rPr>
              <w:t>dispozițiilor</w:t>
            </w:r>
            <w:r w:rsidRPr="00F33055">
              <w:rPr>
                <w:rFonts w:ascii="Trebuchet MS" w:hAnsi="Trebuchet MS" w:cs="Arial"/>
                <w:sz w:val="22"/>
                <w:szCs w:val="22"/>
                <w:lang w:val="ro-RO"/>
              </w:rPr>
              <w:t xml:space="preserve"> constituționale şi infraconstituţionale, rolul de membru al Consiliului Superior al Magistraturii şi </w:t>
            </w:r>
            <w:r w:rsidR="000A5585" w:rsidRPr="00F33055">
              <w:rPr>
                <w:rFonts w:ascii="Trebuchet MS" w:hAnsi="Trebuchet MS" w:cs="Arial"/>
                <w:sz w:val="22"/>
                <w:szCs w:val="22"/>
                <w:lang w:val="ro-RO"/>
              </w:rPr>
              <w:t>atribuții</w:t>
            </w:r>
            <w:r w:rsidRPr="00F33055">
              <w:rPr>
                <w:rFonts w:ascii="Trebuchet MS" w:hAnsi="Trebuchet MS" w:cs="Arial"/>
                <w:sz w:val="22"/>
                <w:szCs w:val="22"/>
                <w:lang w:val="ro-RO"/>
              </w:rPr>
              <w:t xml:space="preserve"> în gestionarea </w:t>
            </w:r>
            <w:r w:rsidR="000A5585" w:rsidRPr="00F33055">
              <w:rPr>
                <w:rFonts w:ascii="Trebuchet MS" w:hAnsi="Trebuchet MS" w:cs="Arial"/>
                <w:sz w:val="22"/>
                <w:szCs w:val="22"/>
                <w:lang w:val="ro-RO"/>
              </w:rPr>
              <w:t>justiției</w:t>
            </w:r>
            <w:r w:rsidRPr="00F33055">
              <w:rPr>
                <w:rFonts w:ascii="Trebuchet MS" w:hAnsi="Trebuchet MS" w:cs="Arial"/>
                <w:sz w:val="22"/>
                <w:szCs w:val="22"/>
                <w:lang w:val="ro-RO"/>
              </w:rPr>
              <w:t xml:space="preserve">, ca serviciu public. </w:t>
            </w:r>
          </w:p>
          <w:p w:rsidR="00E669AD" w:rsidRPr="00F33055" w:rsidRDefault="005B7BDB" w:rsidP="006460D9">
            <w:pPr>
              <w:autoSpaceDE w:val="0"/>
              <w:autoSpaceDN w:val="0"/>
              <w:adjustRightInd w:val="0"/>
              <w:spacing w:line="276" w:lineRule="auto"/>
              <w:jc w:val="both"/>
              <w:rPr>
                <w:rFonts w:ascii="Trebuchet MS" w:eastAsiaTheme="minorHAnsi" w:hAnsi="Trebuchet MS"/>
                <w:iCs/>
                <w:sz w:val="22"/>
                <w:szCs w:val="22"/>
                <w:lang w:val="ro-RO"/>
              </w:rPr>
            </w:pPr>
            <w:r w:rsidRPr="00F33055">
              <w:rPr>
                <w:rFonts w:ascii="Trebuchet MS" w:hAnsi="Trebuchet MS" w:cs="Arial"/>
                <w:sz w:val="22"/>
                <w:szCs w:val="22"/>
                <w:lang w:val="ro-RO"/>
              </w:rPr>
              <w:t>Totodată, Ministerul Justiţie</w:t>
            </w:r>
            <w:r w:rsidR="00E669AD" w:rsidRPr="00F33055">
              <w:rPr>
                <w:rFonts w:ascii="Trebuchet MS" w:hAnsi="Trebuchet MS" w:cs="Arial"/>
                <w:sz w:val="22"/>
                <w:szCs w:val="22"/>
                <w:lang w:val="ro-RO"/>
              </w:rPr>
              <w:t>i</w:t>
            </w:r>
            <w:r w:rsidRPr="00F33055">
              <w:rPr>
                <w:rFonts w:ascii="Trebuchet MS" w:hAnsi="Trebuchet MS" w:cs="Arial"/>
                <w:sz w:val="22"/>
                <w:szCs w:val="22"/>
                <w:lang w:val="ro-RO"/>
              </w:rPr>
              <w:t xml:space="preserve">, în domeniul </w:t>
            </w:r>
            <w:r w:rsidRPr="00F33055">
              <w:rPr>
                <w:rFonts w:ascii="Trebuchet MS" w:eastAsiaTheme="minorHAnsi" w:hAnsi="Trebuchet MS"/>
                <w:sz w:val="22"/>
                <w:szCs w:val="22"/>
                <w:lang w:val="ro-RO"/>
              </w:rPr>
              <w:t>reglementării cadrului normativ</w:t>
            </w:r>
            <w:r w:rsidR="00E669AD" w:rsidRPr="00F33055">
              <w:rPr>
                <w:rFonts w:ascii="Trebuchet MS" w:eastAsiaTheme="minorHAnsi" w:hAnsi="Trebuchet MS"/>
                <w:sz w:val="22"/>
                <w:szCs w:val="22"/>
                <w:lang w:val="ro-RO"/>
              </w:rPr>
              <w:t>, elaborează a</w:t>
            </w:r>
            <w:r w:rsidRPr="00F33055">
              <w:rPr>
                <w:rFonts w:ascii="Trebuchet MS" w:eastAsiaTheme="minorHAnsi" w:hAnsi="Trebuchet MS"/>
                <w:iCs/>
                <w:sz w:val="22"/>
                <w:szCs w:val="22"/>
                <w:lang w:val="ro-RO"/>
              </w:rPr>
              <w:t>cte normative ce interesează domeniul justiţiei</w:t>
            </w:r>
            <w:r w:rsidR="00E669AD" w:rsidRPr="00F33055">
              <w:rPr>
                <w:rFonts w:ascii="Trebuchet MS" w:eastAsiaTheme="minorHAnsi" w:hAnsi="Trebuchet MS"/>
                <w:iCs/>
                <w:sz w:val="22"/>
                <w:szCs w:val="22"/>
                <w:lang w:val="ro-RO"/>
              </w:rPr>
              <w:t>.</w:t>
            </w:r>
          </w:p>
          <w:p w:rsidR="00A8673D" w:rsidRPr="00F33055" w:rsidRDefault="00A8673D" w:rsidP="006460D9">
            <w:pPr>
              <w:autoSpaceDE w:val="0"/>
              <w:autoSpaceDN w:val="0"/>
              <w:adjustRightInd w:val="0"/>
              <w:spacing w:line="276" w:lineRule="auto"/>
              <w:jc w:val="both"/>
              <w:rPr>
                <w:rFonts w:ascii="Trebuchet MS" w:hAnsi="Trebuchet MS"/>
                <w:sz w:val="22"/>
                <w:szCs w:val="22"/>
                <w:lang w:val="ro-RO"/>
              </w:rPr>
            </w:pPr>
            <w:r w:rsidRPr="00F33055">
              <w:rPr>
                <w:rFonts w:ascii="Trebuchet MS" w:hAnsi="Trebuchet MS" w:cs="Arial"/>
                <w:sz w:val="22"/>
                <w:szCs w:val="22"/>
                <w:lang w:val="ro-RO"/>
              </w:rPr>
              <w:t>De asemenea, în conformitate cu prevederile art. 132 alin. (1) din Constituție, p</w:t>
            </w:r>
            <w:r w:rsidRPr="00F33055">
              <w:rPr>
                <w:rFonts w:ascii="Trebuchet MS" w:hAnsi="Trebuchet MS"/>
                <w:sz w:val="22"/>
                <w:szCs w:val="22"/>
                <w:lang w:val="ro-RO"/>
              </w:rPr>
              <w:t xml:space="preserve">rocurorii își desfășoară activitatea potrivit principiului legalităţii, al imparțialității şi al controlului ierarhic, sub autoritatea ministrului </w:t>
            </w:r>
            <w:r w:rsidR="000A5585" w:rsidRPr="00F33055">
              <w:rPr>
                <w:rFonts w:ascii="Trebuchet MS" w:hAnsi="Trebuchet MS"/>
                <w:sz w:val="22"/>
                <w:szCs w:val="22"/>
                <w:lang w:val="ro-RO"/>
              </w:rPr>
              <w:t>justiției</w:t>
            </w:r>
            <w:r w:rsidRPr="00F33055">
              <w:rPr>
                <w:rFonts w:ascii="Trebuchet MS" w:hAnsi="Trebuchet MS"/>
                <w:sz w:val="22"/>
                <w:szCs w:val="22"/>
                <w:lang w:val="ro-RO"/>
              </w:rPr>
              <w:t xml:space="preserve"> </w:t>
            </w:r>
          </w:p>
          <w:p w:rsidR="00357B6B" w:rsidRPr="00F33055" w:rsidRDefault="00E669AD" w:rsidP="006460D9">
            <w:pPr>
              <w:autoSpaceDE w:val="0"/>
              <w:autoSpaceDN w:val="0"/>
              <w:adjustRightInd w:val="0"/>
              <w:spacing w:line="276" w:lineRule="auto"/>
              <w:jc w:val="both"/>
              <w:rPr>
                <w:rFonts w:ascii="Trebuchet MS" w:hAnsi="Trebuchet MS"/>
                <w:iCs/>
                <w:sz w:val="22"/>
                <w:szCs w:val="22"/>
                <w:lang w:val="ro-RO"/>
              </w:rPr>
            </w:pPr>
            <w:r w:rsidRPr="00F33055">
              <w:rPr>
                <w:rFonts w:ascii="Trebuchet MS" w:hAnsi="Trebuchet MS"/>
                <w:sz w:val="22"/>
                <w:szCs w:val="22"/>
                <w:lang w:val="ro-RO"/>
              </w:rPr>
              <w:t>În considerarea celor de mai sus, p</w:t>
            </w:r>
            <w:r w:rsidR="000A5585" w:rsidRPr="00F33055">
              <w:rPr>
                <w:rFonts w:ascii="Trebuchet MS" w:hAnsi="Trebuchet MS"/>
                <w:sz w:val="22"/>
                <w:szCs w:val="22"/>
                <w:lang w:val="ro-RO"/>
              </w:rPr>
              <w:t>rin proiect se propune</w:t>
            </w:r>
            <w:r w:rsidR="005B7BDB" w:rsidRPr="00F33055">
              <w:rPr>
                <w:rFonts w:ascii="Trebuchet MS" w:hAnsi="Trebuchet MS"/>
                <w:sz w:val="22"/>
                <w:szCs w:val="22"/>
                <w:lang w:val="ro-RO"/>
              </w:rPr>
              <w:t xml:space="preserve"> </w:t>
            </w:r>
            <w:r w:rsidRPr="00F33055">
              <w:rPr>
                <w:rFonts w:ascii="Trebuchet MS" w:hAnsi="Trebuchet MS"/>
                <w:sz w:val="22"/>
                <w:szCs w:val="22"/>
                <w:lang w:val="ro-RO"/>
              </w:rPr>
              <w:t xml:space="preserve">ca </w:t>
            </w:r>
            <w:r w:rsidRPr="00F33055">
              <w:rPr>
                <w:rFonts w:ascii="Trebuchet MS" w:hAnsi="Trebuchet MS"/>
                <w:iCs/>
                <w:sz w:val="22"/>
                <w:szCs w:val="22"/>
                <w:lang w:val="ro-RO"/>
              </w:rPr>
              <w:t xml:space="preserve">Regulamentul de ordine interioară al instanţelor judecătoreşti să se </w:t>
            </w:r>
            <w:r w:rsidRPr="00F33055">
              <w:rPr>
                <w:rFonts w:ascii="Trebuchet MS" w:hAnsi="Trebuchet MS"/>
                <w:sz w:val="22"/>
                <w:szCs w:val="22"/>
                <w:lang w:val="ro-RO"/>
              </w:rPr>
              <w:t>elaboreze de Consiliul Superior al Magistraturii şi de Ministerul Justiţiei şi să se aprob</w:t>
            </w:r>
            <w:r w:rsidR="006460A1" w:rsidRPr="00F33055">
              <w:rPr>
                <w:rFonts w:ascii="Trebuchet MS" w:hAnsi="Trebuchet MS"/>
                <w:sz w:val="22"/>
                <w:szCs w:val="22"/>
                <w:lang w:val="ro-RO"/>
              </w:rPr>
              <w:t>e</w:t>
            </w:r>
            <w:r w:rsidRPr="00F33055">
              <w:rPr>
                <w:rFonts w:ascii="Trebuchet MS" w:hAnsi="Trebuchet MS"/>
                <w:sz w:val="22"/>
                <w:szCs w:val="22"/>
                <w:lang w:val="ro-RO"/>
              </w:rPr>
              <w:t xml:space="preserve"> prin hotărâre a </w:t>
            </w:r>
            <w:r w:rsidR="006460A1" w:rsidRPr="00F33055">
              <w:rPr>
                <w:rFonts w:ascii="Trebuchet MS" w:hAnsi="Trebuchet MS"/>
                <w:sz w:val="22"/>
                <w:szCs w:val="22"/>
                <w:lang w:val="ro-RO"/>
              </w:rPr>
              <w:t xml:space="preserve">Plenului </w:t>
            </w:r>
            <w:r w:rsidRPr="00F33055">
              <w:rPr>
                <w:rFonts w:ascii="Trebuchet MS" w:hAnsi="Trebuchet MS"/>
                <w:sz w:val="22"/>
                <w:szCs w:val="22"/>
                <w:lang w:val="ro-RO"/>
              </w:rPr>
              <w:t xml:space="preserve">Consiliului Superior al Magistraturii, care se publică în Monitorul Oficial al României, Partea I, iar </w:t>
            </w:r>
            <w:r w:rsidRPr="00F33055">
              <w:rPr>
                <w:rFonts w:ascii="Trebuchet MS" w:hAnsi="Trebuchet MS"/>
                <w:iCs/>
                <w:sz w:val="22"/>
                <w:szCs w:val="22"/>
                <w:lang w:val="ro-RO"/>
              </w:rPr>
              <w:t>Regulamentul de ordine interioară al parchetelor</w:t>
            </w:r>
            <w:r w:rsidR="006460A1" w:rsidRPr="00F33055">
              <w:rPr>
                <w:rFonts w:ascii="Trebuchet MS" w:hAnsi="Trebuchet MS"/>
                <w:iCs/>
                <w:sz w:val="22"/>
                <w:szCs w:val="22"/>
                <w:lang w:val="ro-RO"/>
              </w:rPr>
              <w:t xml:space="preserve"> şi al direcțiilor specializate </w:t>
            </w:r>
            <w:r w:rsidRPr="00F33055">
              <w:rPr>
                <w:rFonts w:ascii="Trebuchet MS" w:hAnsi="Trebuchet MS"/>
                <w:iCs/>
                <w:sz w:val="22"/>
                <w:szCs w:val="22"/>
                <w:lang w:val="ro-RO"/>
              </w:rPr>
              <w:t xml:space="preserve">să se aprobe prin ordin al ministrului justiţiei, la propunerea procurorului general al Parchetului de pe lângă Înalta Curte de Casaţie şi Justiţie sau, după caz, a procurorului-şef al Direcţiei Naţionale Anticorupţie ori a procurorului-şef al Direcţiei de Investigare a </w:t>
            </w:r>
            <w:r w:rsidR="005B63BD" w:rsidRPr="00F33055">
              <w:rPr>
                <w:rFonts w:ascii="Trebuchet MS" w:hAnsi="Trebuchet MS"/>
                <w:iCs/>
                <w:sz w:val="22"/>
                <w:szCs w:val="22"/>
                <w:lang w:val="ro-RO"/>
              </w:rPr>
              <w:t>Infracțiunilor</w:t>
            </w:r>
            <w:r w:rsidRPr="00F33055">
              <w:rPr>
                <w:rFonts w:ascii="Trebuchet MS" w:hAnsi="Trebuchet MS"/>
                <w:iCs/>
                <w:sz w:val="22"/>
                <w:szCs w:val="22"/>
                <w:lang w:val="ro-RO"/>
              </w:rPr>
              <w:t xml:space="preserve"> de Criminalitate Organizată şi Terorism, cu avizul consultativ al </w:t>
            </w:r>
            <w:r w:rsidR="006460A1" w:rsidRPr="00F33055">
              <w:rPr>
                <w:rFonts w:ascii="Trebuchet MS" w:hAnsi="Trebuchet MS"/>
                <w:iCs/>
                <w:sz w:val="22"/>
                <w:szCs w:val="22"/>
                <w:lang w:val="ro-RO"/>
              </w:rPr>
              <w:t>Plenului</w:t>
            </w:r>
            <w:r w:rsidRPr="00F33055">
              <w:rPr>
                <w:rFonts w:ascii="Trebuchet MS" w:hAnsi="Trebuchet MS"/>
                <w:iCs/>
                <w:sz w:val="22"/>
                <w:szCs w:val="22"/>
                <w:lang w:val="ro-RO"/>
              </w:rPr>
              <w:t xml:space="preserve"> Consiliului Superior al Magistraturii.</w:t>
            </w:r>
          </w:p>
          <w:p w:rsidR="00357B6B" w:rsidRPr="00F33055" w:rsidRDefault="00CB23A7" w:rsidP="006460D9">
            <w:pPr>
              <w:spacing w:line="276" w:lineRule="auto"/>
              <w:jc w:val="both"/>
              <w:rPr>
                <w:rFonts w:ascii="Trebuchet MS" w:hAnsi="Trebuchet MS"/>
                <w:sz w:val="22"/>
                <w:szCs w:val="22"/>
                <w:lang w:val="ro-RO"/>
              </w:rPr>
            </w:pPr>
            <w:r w:rsidRPr="00F33055">
              <w:rPr>
                <w:rFonts w:ascii="Trebuchet MS" w:hAnsi="Trebuchet MS"/>
                <w:iCs/>
                <w:sz w:val="22"/>
                <w:szCs w:val="22"/>
                <w:lang w:val="ro-RO"/>
              </w:rPr>
              <w:t xml:space="preserve">- </w:t>
            </w:r>
            <w:r w:rsidR="00357B6B" w:rsidRPr="00F33055">
              <w:rPr>
                <w:rFonts w:ascii="Trebuchet MS" w:hAnsi="Trebuchet MS"/>
                <w:iCs/>
                <w:sz w:val="22"/>
                <w:szCs w:val="22"/>
                <w:lang w:val="ro-RO"/>
              </w:rPr>
              <w:t>Prevederile art. 38 alin. (2) din Legea nr. 304/2004</w:t>
            </w:r>
            <w:r w:rsidR="00357B6B" w:rsidRPr="00F33055">
              <w:rPr>
                <w:rFonts w:ascii="Trebuchet MS" w:hAnsi="Trebuchet MS"/>
                <w:sz w:val="22"/>
                <w:szCs w:val="22"/>
                <w:lang w:val="ro-RO"/>
              </w:rPr>
              <w:t xml:space="preserve"> stabilesc competența Plenului Consiliului Superior al Magistraturii în ceea ce privește stabilirea localităților care fac parte din circumscripțiile judecătoriilor din fiecare județ, cu avizul conform al ministrului </w:t>
            </w:r>
            <w:r w:rsidR="005B63BD" w:rsidRPr="00F33055">
              <w:rPr>
                <w:rFonts w:ascii="Trebuchet MS" w:hAnsi="Trebuchet MS"/>
                <w:sz w:val="22"/>
                <w:szCs w:val="22"/>
                <w:lang w:val="ro-RO"/>
              </w:rPr>
              <w:t>justiției</w:t>
            </w:r>
            <w:r w:rsidR="00357B6B" w:rsidRPr="00F33055">
              <w:rPr>
                <w:rFonts w:ascii="Trebuchet MS" w:hAnsi="Trebuchet MS"/>
                <w:sz w:val="22"/>
                <w:szCs w:val="22"/>
                <w:lang w:val="ro-RO"/>
              </w:rPr>
              <w:t>.</w:t>
            </w:r>
          </w:p>
          <w:p w:rsidR="00357B6B" w:rsidRPr="00F33055" w:rsidRDefault="00357B6B" w:rsidP="006460D9">
            <w:pPr>
              <w:spacing w:line="276" w:lineRule="auto"/>
              <w:jc w:val="both"/>
              <w:rPr>
                <w:rFonts w:ascii="Trebuchet MS" w:hAnsi="Trebuchet MS"/>
                <w:sz w:val="22"/>
                <w:szCs w:val="22"/>
                <w:lang w:val="ro-RO"/>
              </w:rPr>
            </w:pPr>
            <w:r w:rsidRPr="00F33055">
              <w:rPr>
                <w:rFonts w:ascii="Trebuchet MS" w:hAnsi="Trebuchet MS"/>
                <w:sz w:val="22"/>
                <w:szCs w:val="22"/>
                <w:lang w:val="ro-RO"/>
              </w:rPr>
              <w:t xml:space="preserve">Stabilirea localităților care fac parte din circumscripțiile judecătoriilor din fiecare județ nu este o atribuție a Consiliului Superior al Magistraturii, acesta îndeplinind și alte </w:t>
            </w:r>
            <w:r w:rsidR="005B63BD" w:rsidRPr="00F33055">
              <w:rPr>
                <w:rFonts w:ascii="Trebuchet MS" w:hAnsi="Trebuchet MS" w:cs="Arial"/>
                <w:color w:val="000000"/>
                <w:sz w:val="22"/>
                <w:szCs w:val="22"/>
                <w:lang w:val="ro-RO"/>
              </w:rPr>
              <w:t>atribuții</w:t>
            </w:r>
            <w:r w:rsidRPr="00F33055">
              <w:rPr>
                <w:rFonts w:ascii="Trebuchet MS" w:hAnsi="Trebuchet MS" w:cs="Arial"/>
                <w:color w:val="000000"/>
                <w:sz w:val="22"/>
                <w:szCs w:val="22"/>
                <w:lang w:val="ro-RO"/>
              </w:rPr>
              <w:t xml:space="preserve"> stabilite prin legea sa organică</w:t>
            </w:r>
            <w:r w:rsidRPr="00F33055">
              <w:rPr>
                <w:rFonts w:ascii="Trebuchet MS" w:hAnsi="Trebuchet MS"/>
                <w:sz w:val="22"/>
                <w:szCs w:val="22"/>
                <w:lang w:val="ro-RO"/>
              </w:rPr>
              <w:t xml:space="preserve">, însă în considerarea rolului său de garant al independenței justiției. </w:t>
            </w:r>
          </w:p>
          <w:p w:rsidR="005B63BD" w:rsidRPr="00F33055" w:rsidRDefault="00357B6B" w:rsidP="006460D9">
            <w:pPr>
              <w:spacing w:line="276" w:lineRule="auto"/>
              <w:jc w:val="both"/>
              <w:rPr>
                <w:rFonts w:ascii="Trebuchet MS" w:hAnsi="Trebuchet MS"/>
                <w:sz w:val="22"/>
                <w:szCs w:val="22"/>
                <w:lang w:val="ro-RO"/>
              </w:rPr>
            </w:pPr>
            <w:r w:rsidRPr="00F33055">
              <w:rPr>
                <w:rFonts w:ascii="Trebuchet MS" w:hAnsi="Trebuchet MS"/>
                <w:sz w:val="22"/>
                <w:szCs w:val="22"/>
                <w:lang w:val="ro-RO"/>
              </w:rPr>
              <w:lastRenderedPageBreak/>
              <w:t>Dimpotrivă, stabilirea circumscripțiilor judecătoriilor – care determină stabilirea competenței teritoriale a acestora - este o atribuție ce ține de politica statului în materie, Guvernul fiind cel care trebuie să stabilească, în funcție de criterii obiective, aceste aspecte ce privesc buna organizare și funcționare a justiției ca serviciu public</w:t>
            </w:r>
            <w:r w:rsidR="005B63BD" w:rsidRPr="00F33055">
              <w:rPr>
                <w:rFonts w:ascii="Trebuchet MS" w:hAnsi="Trebuchet MS"/>
                <w:sz w:val="22"/>
                <w:szCs w:val="22"/>
                <w:lang w:val="ro-RO"/>
              </w:rPr>
              <w:t>.</w:t>
            </w:r>
          </w:p>
          <w:p w:rsidR="00450EF9" w:rsidRPr="00F33055" w:rsidRDefault="005B63BD" w:rsidP="006460D9">
            <w:pPr>
              <w:autoSpaceDE w:val="0"/>
              <w:autoSpaceDN w:val="0"/>
              <w:adjustRightInd w:val="0"/>
              <w:spacing w:line="276" w:lineRule="auto"/>
              <w:jc w:val="both"/>
              <w:rPr>
                <w:rFonts w:ascii="Trebuchet MS" w:hAnsi="Trebuchet MS"/>
                <w:bCs/>
                <w:sz w:val="22"/>
                <w:szCs w:val="22"/>
                <w:lang w:val="ro-RO"/>
              </w:rPr>
            </w:pPr>
            <w:r w:rsidRPr="00F33055">
              <w:rPr>
                <w:rFonts w:ascii="Trebuchet MS" w:hAnsi="Trebuchet MS"/>
                <w:sz w:val="22"/>
                <w:szCs w:val="22"/>
                <w:lang w:val="ro-RO"/>
              </w:rPr>
              <w:t>În acest sens, proiectul propune revenirea la soluţia existentă anterior anului 2018, stabilind faptul că</w:t>
            </w:r>
            <w:r w:rsidR="009152B7" w:rsidRPr="00F33055">
              <w:rPr>
                <w:rFonts w:ascii="Trebuchet MS" w:eastAsiaTheme="minorHAnsi" w:hAnsi="Trebuchet MS"/>
                <w:sz w:val="22"/>
                <w:szCs w:val="22"/>
                <w:lang w:val="ro-RO"/>
              </w:rPr>
              <w:t xml:space="preserve">  localităţile care fac parte din circumscripţiile judecătoriilor din fiecare judeţ se stabilesc prin hotărâre a Guvernului, la propunerea ministrului justiţiei, cu avizul Consiliului Superior al Magistraturii.</w:t>
            </w:r>
            <w:r w:rsidR="00357B6B" w:rsidRPr="00F33055">
              <w:rPr>
                <w:rFonts w:ascii="Trebuchet MS" w:hAnsi="Trebuchet MS"/>
                <w:sz w:val="22"/>
                <w:szCs w:val="22"/>
                <w:lang w:val="ro-RO"/>
              </w:rPr>
              <w:t xml:space="preserve"> </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lastRenderedPageBreak/>
              <w:t>3. Alte informaţii</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p>
        </w:tc>
      </w:tr>
      <w:tr w:rsidR="008B516A" w:rsidRPr="00CB23A7" w:rsidTr="00346997">
        <w:tc>
          <w:tcPr>
            <w:tcW w:w="11199" w:type="dxa"/>
            <w:gridSpan w:val="8"/>
          </w:tcPr>
          <w:p w:rsidR="00682D39" w:rsidRPr="00CB23A7" w:rsidRDefault="00682D39" w:rsidP="006460D9">
            <w:pPr>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3-a – Impactul socioeconomic al proiectului de act normativ</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1. Impactul macroeconomic</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Nu este cazul </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1</w:t>
            </w:r>
            <w:r w:rsidRPr="00CB23A7">
              <w:rPr>
                <w:rFonts w:ascii="Trebuchet MS" w:hAnsi="Trebuchet MS"/>
                <w:snapToGrid w:val="0"/>
                <w:sz w:val="22"/>
                <w:szCs w:val="22"/>
                <w:vertAlign w:val="superscript"/>
                <w:lang w:val="ro-RO"/>
              </w:rPr>
              <w:t>1</w:t>
            </w:r>
            <w:r w:rsidRPr="00CB23A7">
              <w:rPr>
                <w:rFonts w:ascii="Trebuchet MS" w:hAnsi="Trebuchet MS"/>
                <w:snapToGrid w:val="0"/>
                <w:sz w:val="22"/>
                <w:szCs w:val="22"/>
                <w:lang w:val="ro-RO"/>
              </w:rPr>
              <w:t>. Impactul asupra mediului concurențial și domeniului ajutoarelor de stat</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Nu este cazul </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2. Impactul asupra mediului afaceri</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Nu este cazul </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3. Impactul social</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Nu este cazul</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4. Impactul asupra mediului</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Nu este cazul</w:t>
            </w:r>
          </w:p>
        </w:tc>
      </w:tr>
      <w:tr w:rsidR="008B516A" w:rsidRPr="00CB23A7" w:rsidTr="00346997">
        <w:tc>
          <w:tcPr>
            <w:tcW w:w="3970" w:type="dxa"/>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5. Alte informaţii</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p>
        </w:tc>
      </w:tr>
      <w:tr w:rsidR="008B516A" w:rsidRPr="00CB23A7" w:rsidTr="00346997">
        <w:tc>
          <w:tcPr>
            <w:tcW w:w="11199" w:type="dxa"/>
            <w:gridSpan w:val="8"/>
          </w:tcPr>
          <w:p w:rsidR="00682D39" w:rsidRPr="00CB23A7" w:rsidRDefault="00682D39" w:rsidP="006460D9">
            <w:pPr>
              <w:autoSpaceDE w:val="0"/>
              <w:autoSpaceDN w:val="0"/>
              <w:adjustRightInd w:val="0"/>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4-a – Impactul financiar asupra bugetului general consolidat, atât pe termen scurt, pentru anul curent, cât şi pe termen lung (5 ani).</w:t>
            </w:r>
          </w:p>
        </w:tc>
      </w:tr>
      <w:tr w:rsidR="008B516A" w:rsidRPr="00CB23A7" w:rsidTr="00346997">
        <w:tc>
          <w:tcPr>
            <w:tcW w:w="11199" w:type="dxa"/>
            <w:gridSpan w:val="8"/>
          </w:tcPr>
          <w:p w:rsidR="00682D39" w:rsidRPr="00CB23A7" w:rsidRDefault="00682D39" w:rsidP="006460D9">
            <w:pPr>
              <w:spacing w:line="276" w:lineRule="auto"/>
              <w:jc w:val="right"/>
              <w:rPr>
                <w:rFonts w:ascii="Trebuchet MS" w:hAnsi="Trebuchet MS"/>
                <w:snapToGrid w:val="0"/>
                <w:sz w:val="22"/>
                <w:szCs w:val="22"/>
                <w:lang w:val="ro-RO"/>
              </w:rPr>
            </w:pPr>
            <w:r w:rsidRPr="00CB23A7">
              <w:rPr>
                <w:rFonts w:ascii="Trebuchet MS" w:hAnsi="Trebuchet MS"/>
                <w:snapToGrid w:val="0"/>
                <w:sz w:val="22"/>
                <w:szCs w:val="22"/>
                <w:lang w:val="ro-RO"/>
              </w:rPr>
              <w:t>- mii lei -</w:t>
            </w:r>
          </w:p>
        </w:tc>
      </w:tr>
      <w:tr w:rsidR="008B516A" w:rsidRPr="00CB23A7" w:rsidTr="00346997">
        <w:tc>
          <w:tcPr>
            <w:tcW w:w="4631" w:type="dxa"/>
            <w:gridSpan w:val="2"/>
          </w:tcPr>
          <w:p w:rsidR="00682D39" w:rsidRPr="00CB23A7" w:rsidRDefault="00682D39" w:rsidP="006460D9">
            <w:pPr>
              <w:spacing w:line="276" w:lineRule="auto"/>
              <w:jc w:val="center"/>
              <w:rPr>
                <w:rFonts w:ascii="Trebuchet MS" w:hAnsi="Trebuchet MS"/>
                <w:snapToGrid w:val="0"/>
                <w:sz w:val="22"/>
                <w:szCs w:val="22"/>
                <w:lang w:val="ro-RO"/>
              </w:rPr>
            </w:pPr>
            <w:r w:rsidRPr="00CB23A7">
              <w:rPr>
                <w:rFonts w:ascii="Trebuchet MS" w:hAnsi="Trebuchet MS"/>
                <w:snapToGrid w:val="0"/>
                <w:sz w:val="22"/>
                <w:szCs w:val="22"/>
                <w:lang w:val="ro-RO"/>
              </w:rPr>
              <w:t>Indicatori</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Anul curent</w:t>
            </w:r>
          </w:p>
          <w:p w:rsidR="00682D39" w:rsidRPr="00CB23A7" w:rsidRDefault="00682D39" w:rsidP="006460D9">
            <w:pPr>
              <w:spacing w:line="276" w:lineRule="auto"/>
              <w:jc w:val="center"/>
              <w:rPr>
                <w:rFonts w:ascii="Trebuchet MS" w:hAnsi="Trebuchet MS"/>
                <w:sz w:val="22"/>
                <w:szCs w:val="22"/>
                <w:lang w:val="ro-RO"/>
              </w:rPr>
            </w:pPr>
          </w:p>
        </w:tc>
        <w:tc>
          <w:tcPr>
            <w:tcW w:w="4320" w:type="dxa"/>
            <w:gridSpan w:val="4"/>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Următorii 4 ani</w:t>
            </w: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Media pe 5 ani</w:t>
            </w:r>
          </w:p>
        </w:tc>
      </w:tr>
      <w:tr w:rsidR="008B516A" w:rsidRPr="00CB23A7" w:rsidTr="00346997">
        <w:tc>
          <w:tcPr>
            <w:tcW w:w="4631" w:type="dxa"/>
            <w:gridSpan w:val="2"/>
          </w:tcPr>
          <w:p w:rsidR="00682D39" w:rsidRPr="00CB23A7" w:rsidRDefault="00682D39" w:rsidP="006460D9">
            <w:pPr>
              <w:spacing w:line="276" w:lineRule="auto"/>
              <w:jc w:val="center"/>
              <w:rPr>
                <w:rFonts w:ascii="Trebuchet MS" w:hAnsi="Trebuchet MS"/>
                <w:snapToGrid w:val="0"/>
                <w:sz w:val="22"/>
                <w:szCs w:val="22"/>
                <w:lang w:val="ro-RO"/>
              </w:rPr>
            </w:pPr>
            <w:r w:rsidRPr="00CB23A7">
              <w:rPr>
                <w:rFonts w:ascii="Trebuchet MS" w:hAnsi="Trebuchet MS"/>
                <w:snapToGrid w:val="0"/>
                <w:sz w:val="22"/>
                <w:szCs w:val="22"/>
                <w:lang w:val="ro-RO"/>
              </w:rPr>
              <w:t>1</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w:t>
            </w:r>
          </w:p>
          <w:p w:rsidR="00682D39" w:rsidRPr="00CB23A7" w:rsidRDefault="00026553"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20</w:t>
            </w:r>
            <w:r w:rsidR="000A1A99" w:rsidRPr="00CB23A7">
              <w:rPr>
                <w:rFonts w:ascii="Trebuchet MS" w:hAnsi="Trebuchet MS"/>
                <w:sz w:val="22"/>
                <w:szCs w:val="22"/>
                <w:lang w:val="ro-RO"/>
              </w:rPr>
              <w:t>2</w:t>
            </w:r>
            <w:r w:rsidR="009E2933">
              <w:rPr>
                <w:rFonts w:ascii="Trebuchet MS" w:hAnsi="Trebuchet MS"/>
                <w:sz w:val="22"/>
                <w:szCs w:val="22"/>
                <w:lang w:val="ro-RO"/>
              </w:rPr>
              <w:t>1</w:t>
            </w: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3</w:t>
            </w:r>
          </w:p>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20</w:t>
            </w:r>
            <w:r w:rsidR="000A1A99" w:rsidRPr="00CB23A7">
              <w:rPr>
                <w:rFonts w:ascii="Trebuchet MS" w:hAnsi="Trebuchet MS"/>
                <w:sz w:val="22"/>
                <w:szCs w:val="22"/>
                <w:lang w:val="ro-RO"/>
              </w:rPr>
              <w:t>2</w:t>
            </w:r>
            <w:r w:rsidR="009E2933">
              <w:rPr>
                <w:rFonts w:ascii="Trebuchet MS" w:hAnsi="Trebuchet MS"/>
                <w:sz w:val="22"/>
                <w:szCs w:val="22"/>
                <w:lang w:val="ro-RO"/>
              </w:rPr>
              <w:t>2</w:t>
            </w: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4</w:t>
            </w:r>
          </w:p>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20</w:t>
            </w:r>
            <w:r w:rsidR="000A1A99" w:rsidRPr="00CB23A7">
              <w:rPr>
                <w:rFonts w:ascii="Trebuchet MS" w:hAnsi="Trebuchet MS"/>
                <w:sz w:val="22"/>
                <w:szCs w:val="22"/>
                <w:lang w:val="ro-RO"/>
              </w:rPr>
              <w:t>2</w:t>
            </w:r>
            <w:r w:rsidR="009E2933">
              <w:rPr>
                <w:rFonts w:ascii="Trebuchet MS" w:hAnsi="Trebuchet MS"/>
                <w:sz w:val="22"/>
                <w:szCs w:val="22"/>
                <w:lang w:val="ro-RO"/>
              </w:rPr>
              <w:t>3</w:t>
            </w: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5</w:t>
            </w:r>
          </w:p>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20</w:t>
            </w:r>
            <w:r w:rsidR="00026553" w:rsidRPr="00CB23A7">
              <w:rPr>
                <w:rFonts w:ascii="Trebuchet MS" w:hAnsi="Trebuchet MS"/>
                <w:sz w:val="22"/>
                <w:szCs w:val="22"/>
                <w:lang w:val="ro-RO"/>
              </w:rPr>
              <w:t>2</w:t>
            </w:r>
            <w:r w:rsidR="009E2933">
              <w:rPr>
                <w:rFonts w:ascii="Trebuchet MS" w:hAnsi="Trebuchet MS"/>
                <w:sz w:val="22"/>
                <w:szCs w:val="22"/>
                <w:lang w:val="ro-RO"/>
              </w:rPr>
              <w:t>4</w:t>
            </w: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6</w:t>
            </w:r>
          </w:p>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202</w:t>
            </w:r>
            <w:r w:rsidR="009E2933">
              <w:rPr>
                <w:rFonts w:ascii="Trebuchet MS" w:hAnsi="Trebuchet MS"/>
                <w:sz w:val="22"/>
                <w:szCs w:val="22"/>
                <w:lang w:val="ro-RO"/>
              </w:rPr>
              <w:t>5</w:t>
            </w: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r w:rsidRPr="00CB23A7">
              <w:rPr>
                <w:rFonts w:ascii="Trebuchet MS" w:hAnsi="Trebuchet MS"/>
                <w:sz w:val="22"/>
                <w:szCs w:val="22"/>
                <w:lang w:val="ro-RO"/>
              </w:rPr>
              <w:t>7</w:t>
            </w: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1. Modificări ale veniturilor bugetare, plus/minus, din care:</w:t>
            </w:r>
          </w:p>
        </w:tc>
        <w:tc>
          <w:tcPr>
            <w:tcW w:w="6568" w:type="dxa"/>
            <w:gridSpan w:val="6"/>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803353"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a) buget de stat, din acesta:</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impozit pe profit</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(ii) impozit pe venit</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b) bugete locale:</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impozit pe profit</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803353"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c) bugetul asigurărilor sociale de stat:</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contribuţii de asigurări</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2. Modificări ale cheltuielilor bugetare,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803353"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a) buget de stat, din acesta:</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b) bugete locale</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ind w:left="-32"/>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ind w:right="-108"/>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803353"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lastRenderedPageBreak/>
              <w:t>c) bugetul asigurărilor sociale de stat:</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3. Impact financiar,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a) buget de stat</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b) bugetele locale</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4. Propuneri pentru acoperirea creşterii cheltuielilor bugetare</w:t>
            </w:r>
          </w:p>
        </w:tc>
        <w:tc>
          <w:tcPr>
            <w:tcW w:w="6568" w:type="dxa"/>
            <w:gridSpan w:val="6"/>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5. Propuneri pentru a compensa reducerea veniturilor bugetare</w:t>
            </w:r>
          </w:p>
        </w:tc>
        <w:tc>
          <w:tcPr>
            <w:tcW w:w="104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080"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c>
          <w:tcPr>
            <w:tcW w:w="1208" w:type="dxa"/>
            <w:shd w:val="clear" w:color="auto" w:fill="auto"/>
          </w:tcPr>
          <w:p w:rsidR="00682D39" w:rsidRPr="00CB23A7" w:rsidRDefault="00682D39" w:rsidP="006460D9">
            <w:pPr>
              <w:spacing w:line="276" w:lineRule="auto"/>
              <w:jc w:val="center"/>
              <w:rPr>
                <w:rFonts w:ascii="Trebuchet MS" w:hAnsi="Trebuchet MS"/>
                <w:sz w:val="22"/>
                <w:szCs w:val="22"/>
                <w:lang w:val="ro-RO"/>
              </w:rPr>
            </w:pPr>
          </w:p>
        </w:tc>
      </w:tr>
      <w:tr w:rsidR="008B516A" w:rsidRPr="00CB23A7"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6. Calcule detaliate privind fundamentarea modificărilor veniturilor şi/sau cheltuielilor bugetare</w:t>
            </w:r>
          </w:p>
        </w:tc>
        <w:tc>
          <w:tcPr>
            <w:tcW w:w="6568" w:type="dxa"/>
            <w:gridSpan w:val="6"/>
            <w:shd w:val="clear" w:color="auto" w:fill="auto"/>
          </w:tcPr>
          <w:p w:rsidR="00682D39" w:rsidRPr="00CB23A7" w:rsidRDefault="00682D39" w:rsidP="006460D9">
            <w:pPr>
              <w:pStyle w:val="ListParagraph"/>
              <w:spacing w:after="0" w:afterAutospacing="0" w:line="276" w:lineRule="auto"/>
              <w:ind w:left="0"/>
              <w:jc w:val="both"/>
              <w:rPr>
                <w:rFonts w:ascii="Trebuchet MS" w:hAnsi="Trebuchet MS"/>
                <w:lang w:val="ro-RO"/>
              </w:rPr>
            </w:pPr>
          </w:p>
        </w:tc>
      </w:tr>
      <w:tr w:rsidR="008B516A" w:rsidRPr="00803353" w:rsidTr="00346997">
        <w:tc>
          <w:tcPr>
            <w:tcW w:w="4631" w:type="dxa"/>
            <w:gridSpan w:val="2"/>
          </w:tcPr>
          <w:p w:rsidR="00682D39" w:rsidRPr="00CB23A7" w:rsidRDefault="00682D39" w:rsidP="006460D9">
            <w:pPr>
              <w:spacing w:line="276" w:lineRule="auto"/>
              <w:rPr>
                <w:rFonts w:ascii="Trebuchet MS" w:hAnsi="Trebuchet MS"/>
                <w:snapToGrid w:val="0"/>
                <w:sz w:val="22"/>
                <w:szCs w:val="22"/>
                <w:lang w:val="ro-RO"/>
              </w:rPr>
            </w:pPr>
            <w:r w:rsidRPr="00CB23A7">
              <w:rPr>
                <w:rFonts w:ascii="Trebuchet MS" w:hAnsi="Trebuchet MS"/>
                <w:snapToGrid w:val="0"/>
                <w:sz w:val="22"/>
                <w:szCs w:val="22"/>
                <w:lang w:val="ro-RO"/>
              </w:rPr>
              <w:t>7</w:t>
            </w:r>
            <w:r w:rsidR="00C13403" w:rsidRPr="00CB23A7">
              <w:rPr>
                <w:rFonts w:ascii="Trebuchet MS" w:hAnsi="Trebuchet MS"/>
                <w:snapToGrid w:val="0"/>
                <w:sz w:val="22"/>
                <w:szCs w:val="22"/>
                <w:lang w:val="ro-RO"/>
              </w:rPr>
              <w:t>.</w:t>
            </w:r>
            <w:r w:rsidRPr="00CB23A7">
              <w:rPr>
                <w:rFonts w:ascii="Trebuchet MS" w:hAnsi="Trebuchet MS"/>
                <w:snapToGrid w:val="0"/>
                <w:sz w:val="22"/>
                <w:szCs w:val="22"/>
                <w:lang w:val="ro-RO"/>
              </w:rPr>
              <w:t xml:space="preserve"> Alte informații</w:t>
            </w:r>
          </w:p>
        </w:tc>
        <w:tc>
          <w:tcPr>
            <w:tcW w:w="6568" w:type="dxa"/>
            <w:gridSpan w:val="6"/>
            <w:shd w:val="clear" w:color="auto" w:fill="auto"/>
          </w:tcPr>
          <w:p w:rsidR="00682D39" w:rsidRPr="00CB23A7" w:rsidRDefault="00E8287A" w:rsidP="006460D9">
            <w:pPr>
              <w:spacing w:line="276" w:lineRule="auto"/>
              <w:jc w:val="both"/>
              <w:rPr>
                <w:rFonts w:ascii="Trebuchet MS" w:hAnsi="Trebuchet MS"/>
                <w:bCs/>
                <w:sz w:val="22"/>
                <w:szCs w:val="22"/>
                <w:lang w:val="ro-RO"/>
              </w:rPr>
            </w:pPr>
            <w:r w:rsidRPr="00CB23A7">
              <w:rPr>
                <w:rFonts w:ascii="Trebuchet MS" w:hAnsi="Trebuchet MS"/>
                <w:bCs/>
                <w:sz w:val="22"/>
                <w:szCs w:val="22"/>
                <w:lang w:val="ro-RO"/>
              </w:rPr>
              <w:t xml:space="preserve">Eventualele </w:t>
            </w:r>
            <w:r w:rsidR="005832B3" w:rsidRPr="00CB23A7">
              <w:rPr>
                <w:rFonts w:ascii="Trebuchet MS" w:hAnsi="Trebuchet MS"/>
                <w:bCs/>
                <w:sz w:val="22"/>
                <w:szCs w:val="22"/>
                <w:lang w:val="ro-RO"/>
              </w:rPr>
              <w:t>cheltuieli bugetare</w:t>
            </w:r>
            <w:r w:rsidRPr="00CB23A7">
              <w:rPr>
                <w:rFonts w:ascii="Trebuchet MS" w:hAnsi="Trebuchet MS"/>
                <w:bCs/>
                <w:sz w:val="22"/>
                <w:szCs w:val="22"/>
                <w:lang w:val="ro-RO"/>
              </w:rPr>
              <w:t xml:space="preserve"> suplimentare legate de punerea în aplicare a dispozițiilor din cadrul proiectului vor fi acoperite în limita bugetului existent. </w:t>
            </w:r>
          </w:p>
        </w:tc>
      </w:tr>
      <w:tr w:rsidR="008B516A" w:rsidRPr="00CB23A7" w:rsidTr="00346997">
        <w:tc>
          <w:tcPr>
            <w:tcW w:w="11199" w:type="dxa"/>
            <w:gridSpan w:val="8"/>
          </w:tcPr>
          <w:p w:rsidR="00682D39" w:rsidRPr="00CB23A7" w:rsidRDefault="00682D39" w:rsidP="006460D9">
            <w:pPr>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5 –a – Efectele proiectului de act normativ asupra legislaţiei în vigoare</w:t>
            </w:r>
          </w:p>
        </w:tc>
      </w:tr>
      <w:tr w:rsidR="008B516A" w:rsidRPr="00CB23A7" w:rsidTr="00346997">
        <w:tc>
          <w:tcPr>
            <w:tcW w:w="3970" w:type="dxa"/>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napToGrid w:val="0"/>
                <w:sz w:val="22"/>
                <w:szCs w:val="22"/>
                <w:lang w:val="ro-RO"/>
              </w:rPr>
              <w:t xml:space="preserve">1. </w:t>
            </w:r>
            <w:r w:rsidRPr="00CB23A7">
              <w:rPr>
                <w:rFonts w:ascii="Trebuchet MS" w:hAnsi="Trebuchet MS"/>
                <w:sz w:val="22"/>
                <w:szCs w:val="22"/>
                <w:lang w:val="ro-RO"/>
              </w:rPr>
              <w:t xml:space="preserve">Măsuri normative necesare pentru   aplicarea prevederilor  proiectului de act normativ:                                            </w:t>
            </w:r>
          </w:p>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a) acte normative în vigoare ce vor    fi modificate sau abrogate, ca   urmare a intrării în vigoare a       proiectului de act normativ;    </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z w:val="22"/>
                <w:szCs w:val="22"/>
                <w:lang w:val="ro-RO"/>
              </w:rPr>
              <w:t>b) acte normative ce urmează a fi elaborate în implementării noilor dispoziţii.</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este cazul </w:t>
            </w:r>
          </w:p>
        </w:tc>
      </w:tr>
      <w:tr w:rsidR="008B516A" w:rsidRPr="00CB23A7" w:rsidTr="00346997">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1</w:t>
            </w:r>
            <w:r w:rsidRPr="00CB23A7">
              <w:rPr>
                <w:rFonts w:ascii="Trebuchet MS" w:hAnsi="Trebuchet MS"/>
                <w:snapToGrid w:val="0"/>
                <w:sz w:val="22"/>
                <w:szCs w:val="22"/>
                <w:vertAlign w:val="superscript"/>
                <w:lang w:val="ro-RO"/>
              </w:rPr>
              <w:t>1</w:t>
            </w:r>
            <w:r w:rsidRPr="00CB23A7">
              <w:rPr>
                <w:rFonts w:ascii="Trebuchet MS" w:hAnsi="Trebuchet MS"/>
                <w:snapToGrid w:val="0"/>
                <w:sz w:val="22"/>
                <w:szCs w:val="22"/>
                <w:lang w:val="ro-RO"/>
              </w:rPr>
              <w:t>. Compatibilitatea proiectului de act normativ cu legislația în domeniul achizițiilor publice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Nu este cazul</w:t>
            </w:r>
          </w:p>
        </w:tc>
      </w:tr>
      <w:tr w:rsidR="008B516A" w:rsidRPr="00803353" w:rsidTr="00346997">
        <w:trPr>
          <w:trHeight w:val="330"/>
        </w:trPr>
        <w:tc>
          <w:tcPr>
            <w:tcW w:w="3970" w:type="dxa"/>
          </w:tcPr>
          <w:p w:rsidR="00682D39" w:rsidRPr="00CB23A7" w:rsidRDefault="00682D39" w:rsidP="006460D9">
            <w:pPr>
              <w:autoSpaceDE w:val="0"/>
              <w:autoSpaceDN w:val="0"/>
              <w:adjustRightInd w:val="0"/>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2. </w:t>
            </w:r>
            <w:r w:rsidRPr="00CB23A7">
              <w:rPr>
                <w:rFonts w:ascii="Trebuchet MS" w:hAnsi="Trebuchet MS"/>
                <w:iCs/>
                <w:sz w:val="22"/>
                <w:szCs w:val="22"/>
                <w:lang w:val="ro-RO"/>
              </w:rPr>
              <w:t>Conformitatea proiectului de act normativ cu legislaţia comunitară în cazul proiectelor ce transpun prevederi comunitare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au fost identificate documente în </w:t>
            </w:r>
            <w:r w:rsidR="006D0953" w:rsidRPr="00CB23A7">
              <w:rPr>
                <w:rFonts w:ascii="Trebuchet MS" w:hAnsi="Trebuchet MS"/>
                <w:snapToGrid w:val="0"/>
                <w:sz w:val="22"/>
                <w:szCs w:val="22"/>
                <w:lang w:val="ro-RO"/>
              </w:rPr>
              <w:t>legislația</w:t>
            </w:r>
            <w:r w:rsidRPr="00CB23A7">
              <w:rPr>
                <w:rFonts w:ascii="Trebuchet MS" w:hAnsi="Trebuchet MS"/>
                <w:snapToGrid w:val="0"/>
                <w:sz w:val="22"/>
                <w:szCs w:val="22"/>
                <w:lang w:val="ro-RO"/>
              </w:rPr>
              <w:t xml:space="preserve"> comunitară în domeniu</w:t>
            </w:r>
          </w:p>
        </w:tc>
      </w:tr>
      <w:tr w:rsidR="008B516A" w:rsidRPr="00CB23A7" w:rsidTr="00346997">
        <w:trPr>
          <w:trHeight w:val="328"/>
        </w:trPr>
        <w:tc>
          <w:tcPr>
            <w:tcW w:w="3970" w:type="dxa"/>
          </w:tcPr>
          <w:p w:rsidR="00682D39" w:rsidRPr="00CB23A7" w:rsidRDefault="00682D39" w:rsidP="006460D9">
            <w:pPr>
              <w:autoSpaceDE w:val="0"/>
              <w:autoSpaceDN w:val="0"/>
              <w:adjustRightInd w:val="0"/>
              <w:spacing w:line="276" w:lineRule="auto"/>
              <w:rPr>
                <w:rFonts w:ascii="Trebuchet MS" w:hAnsi="Trebuchet MS"/>
                <w:snapToGrid w:val="0"/>
                <w:sz w:val="22"/>
                <w:szCs w:val="22"/>
                <w:lang w:val="ro-RO"/>
              </w:rPr>
            </w:pPr>
            <w:r w:rsidRPr="00CB23A7">
              <w:rPr>
                <w:rFonts w:ascii="Trebuchet MS" w:hAnsi="Trebuchet MS"/>
                <w:iCs/>
                <w:sz w:val="22"/>
                <w:szCs w:val="22"/>
                <w:lang w:val="ro-RO"/>
              </w:rPr>
              <w:t>3. Măsuri normative necesare aplicării directe a actelor  normative comunitare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este cazul </w:t>
            </w:r>
          </w:p>
        </w:tc>
      </w:tr>
      <w:tr w:rsidR="008B516A" w:rsidRPr="00CB23A7" w:rsidTr="00346997">
        <w:trPr>
          <w:trHeight w:val="32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4. Hotărâri ale Curții de Justiție a Uniunii Europene</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Nu este cazul </w:t>
            </w:r>
          </w:p>
        </w:tc>
      </w:tr>
      <w:tr w:rsidR="008B516A" w:rsidRPr="00CB23A7" w:rsidTr="00346997">
        <w:trPr>
          <w:trHeight w:val="32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5. Alte acte normative și/sau documente internaționale dn care decurg angajamente</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Nu este cazul</w:t>
            </w:r>
          </w:p>
          <w:p w:rsidR="00682D39" w:rsidRPr="00CB23A7" w:rsidRDefault="00682D39" w:rsidP="006460D9">
            <w:pPr>
              <w:spacing w:line="276" w:lineRule="auto"/>
              <w:jc w:val="both"/>
              <w:rPr>
                <w:rFonts w:ascii="Trebuchet MS" w:hAnsi="Trebuchet MS"/>
                <w:sz w:val="22"/>
                <w:szCs w:val="22"/>
                <w:lang w:val="ro-RO"/>
              </w:rPr>
            </w:pPr>
          </w:p>
        </w:tc>
      </w:tr>
      <w:tr w:rsidR="008B516A" w:rsidRPr="00CB23A7" w:rsidTr="00346997">
        <w:trPr>
          <w:trHeight w:val="32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6. Alte informații. </w:t>
            </w:r>
          </w:p>
        </w:tc>
        <w:tc>
          <w:tcPr>
            <w:tcW w:w="7229" w:type="dxa"/>
            <w:gridSpan w:val="7"/>
          </w:tcPr>
          <w:p w:rsidR="00682D39" w:rsidRPr="00CB23A7" w:rsidRDefault="00682D39" w:rsidP="006460D9">
            <w:pPr>
              <w:spacing w:line="276" w:lineRule="auto"/>
              <w:jc w:val="both"/>
              <w:rPr>
                <w:rFonts w:ascii="Trebuchet MS" w:hAnsi="Trebuchet MS"/>
                <w:sz w:val="22"/>
                <w:szCs w:val="22"/>
                <w:lang w:val="ro-RO"/>
              </w:rPr>
            </w:pPr>
            <w:r w:rsidRPr="00CB23A7">
              <w:rPr>
                <w:rFonts w:ascii="Trebuchet MS" w:hAnsi="Trebuchet MS"/>
                <w:sz w:val="22"/>
                <w:szCs w:val="22"/>
                <w:lang w:val="ro-RO"/>
              </w:rPr>
              <w:t xml:space="preserve">Nu este cazul </w:t>
            </w:r>
          </w:p>
        </w:tc>
      </w:tr>
      <w:tr w:rsidR="008B516A" w:rsidRPr="00CB23A7" w:rsidTr="00346997">
        <w:trPr>
          <w:trHeight w:val="328"/>
        </w:trPr>
        <w:tc>
          <w:tcPr>
            <w:tcW w:w="11199" w:type="dxa"/>
            <w:gridSpan w:val="8"/>
          </w:tcPr>
          <w:p w:rsidR="00682D39" w:rsidRPr="00CB23A7" w:rsidRDefault="00682D39" w:rsidP="006460D9">
            <w:pPr>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6-a – Consultările efectuate în vederea elaborării proiectului de act normativ</w:t>
            </w:r>
          </w:p>
        </w:tc>
      </w:tr>
      <w:tr w:rsidR="008B516A" w:rsidRPr="00CB23A7" w:rsidTr="00346997">
        <w:trPr>
          <w:trHeight w:val="340"/>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z w:val="22"/>
                <w:szCs w:val="22"/>
                <w:lang w:val="ro-RO"/>
              </w:rPr>
              <w:lastRenderedPageBreak/>
              <w:t>1. Informaţii privind procesul de consultare cu organizaţii neguvernamentale, institute de  cercetare şi alte organisme     implicate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este cazul </w:t>
            </w:r>
          </w:p>
        </w:tc>
      </w:tr>
      <w:tr w:rsidR="008B516A" w:rsidRPr="00CB23A7" w:rsidTr="00346997">
        <w:trPr>
          <w:trHeight w:val="33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2. Fundamentarea alegerii organizaţiilor cu care a avut loc consultarea, precum şi a modului în care activitatea acestor organizaţii este legată de obiectul proiectului de act normativ</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este cazul </w:t>
            </w:r>
          </w:p>
        </w:tc>
      </w:tr>
      <w:tr w:rsidR="008B516A" w:rsidRPr="00CB23A7" w:rsidTr="00346997">
        <w:trPr>
          <w:trHeight w:val="33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Nu este cazul</w:t>
            </w:r>
          </w:p>
        </w:tc>
      </w:tr>
      <w:tr w:rsidR="008B516A" w:rsidRPr="00CB23A7" w:rsidTr="00346997">
        <w:trPr>
          <w:trHeight w:val="338"/>
        </w:trPr>
        <w:tc>
          <w:tcPr>
            <w:tcW w:w="3970" w:type="dxa"/>
          </w:tcPr>
          <w:p w:rsidR="00682D39" w:rsidRPr="00CB23A7" w:rsidRDefault="00682D39" w:rsidP="006460D9">
            <w:pPr>
              <w:autoSpaceDE w:val="0"/>
              <w:autoSpaceDN w:val="0"/>
              <w:adjustRightInd w:val="0"/>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4. </w:t>
            </w:r>
            <w:r w:rsidRPr="00CB23A7">
              <w:rPr>
                <w:rFonts w:ascii="Trebuchet MS" w:hAnsi="Trebuchet MS"/>
                <w:sz w:val="22"/>
                <w:szCs w:val="22"/>
                <w:lang w:val="ro-RO"/>
              </w:rPr>
              <w:t>Consultările desfăşurate în cadrul consiliilor interministeriale, în conformitate cu prevederile    Hotărârii Guvernului nr. 750/2005  privind constituirea consiliilor    interministeriale permanente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Nu este cazul </w:t>
            </w:r>
          </w:p>
        </w:tc>
      </w:tr>
      <w:tr w:rsidR="008B516A" w:rsidRPr="00803353" w:rsidTr="00346997">
        <w:trPr>
          <w:trHeight w:val="33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5. Informaţii privind avizarea de către:</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a) Consiliul Legislativ</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b) Consiliul Suprem de Apărare a Ţării</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c) Consiliul Economic şi Social</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d) Consiliul Concurenţei</w:t>
            </w:r>
          </w:p>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e) Curtea de Conturi.</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p>
        </w:tc>
      </w:tr>
      <w:tr w:rsidR="008B516A" w:rsidRPr="00CB23A7" w:rsidTr="00346997">
        <w:trPr>
          <w:trHeight w:val="328"/>
        </w:trPr>
        <w:tc>
          <w:tcPr>
            <w:tcW w:w="11199" w:type="dxa"/>
            <w:gridSpan w:val="8"/>
          </w:tcPr>
          <w:p w:rsidR="00682D39" w:rsidRPr="00CB23A7" w:rsidRDefault="00682D39" w:rsidP="006460D9">
            <w:pPr>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7-a – Activităţi de informare publică privind elaborarea şi implementarea proiectului de act normativ</w:t>
            </w:r>
          </w:p>
        </w:tc>
      </w:tr>
      <w:tr w:rsidR="008B516A" w:rsidRPr="00803353" w:rsidTr="00346997">
        <w:trPr>
          <w:trHeight w:val="338"/>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1. Informarea societăţii civile cu privire la necesitatea elaborării actului normativ</w:t>
            </w:r>
          </w:p>
        </w:tc>
        <w:tc>
          <w:tcPr>
            <w:tcW w:w="7229" w:type="dxa"/>
            <w:gridSpan w:val="7"/>
          </w:tcPr>
          <w:p w:rsidR="00682D39" w:rsidRPr="00CB23A7" w:rsidRDefault="00682D39" w:rsidP="006460D9">
            <w:pPr>
              <w:autoSpaceDE w:val="0"/>
              <w:autoSpaceDN w:val="0"/>
              <w:adjustRightInd w:val="0"/>
              <w:spacing w:line="276" w:lineRule="auto"/>
              <w:jc w:val="both"/>
              <w:rPr>
                <w:rFonts w:ascii="Trebuchet MS" w:hAnsi="Trebuchet MS"/>
                <w:sz w:val="22"/>
                <w:szCs w:val="22"/>
                <w:lang w:val="ro-RO"/>
              </w:rPr>
            </w:pPr>
            <w:r w:rsidRPr="00CB23A7">
              <w:rPr>
                <w:rFonts w:ascii="Trebuchet MS" w:hAnsi="Trebuchet MS"/>
                <w:sz w:val="22"/>
                <w:szCs w:val="22"/>
                <w:lang w:val="ro-RO"/>
              </w:rPr>
              <w:t>Proiectul a fost afişat pe site-ul Ministerului Justiţiei</w:t>
            </w:r>
            <w:r w:rsidR="00157AF4" w:rsidRPr="00CB23A7">
              <w:rPr>
                <w:rFonts w:ascii="Trebuchet MS" w:hAnsi="Trebuchet MS"/>
                <w:sz w:val="22"/>
                <w:szCs w:val="22"/>
                <w:lang w:val="ro-RO"/>
              </w:rPr>
              <w:t xml:space="preserve"> </w:t>
            </w:r>
          </w:p>
        </w:tc>
      </w:tr>
      <w:tr w:rsidR="008B516A" w:rsidRPr="00803353" w:rsidTr="00346997">
        <w:trPr>
          <w:trHeight w:val="336"/>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p>
        </w:tc>
      </w:tr>
      <w:tr w:rsidR="008B516A" w:rsidRPr="00CB23A7" w:rsidTr="00346997">
        <w:trPr>
          <w:trHeight w:val="336"/>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lastRenderedPageBreak/>
              <w:t>3. Alte informații</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Nu este cazul</w:t>
            </w:r>
          </w:p>
        </w:tc>
      </w:tr>
      <w:tr w:rsidR="008B516A" w:rsidRPr="00803353" w:rsidTr="00346997">
        <w:trPr>
          <w:trHeight w:val="336"/>
        </w:trPr>
        <w:tc>
          <w:tcPr>
            <w:tcW w:w="11199" w:type="dxa"/>
            <w:gridSpan w:val="8"/>
          </w:tcPr>
          <w:p w:rsidR="00682D39" w:rsidRPr="00CB23A7" w:rsidRDefault="00682D39" w:rsidP="006460D9">
            <w:pPr>
              <w:spacing w:line="276" w:lineRule="auto"/>
              <w:jc w:val="both"/>
              <w:rPr>
                <w:rFonts w:ascii="Trebuchet MS" w:hAnsi="Trebuchet MS"/>
                <w:b/>
                <w:snapToGrid w:val="0"/>
                <w:sz w:val="22"/>
                <w:szCs w:val="22"/>
                <w:lang w:val="ro-RO"/>
              </w:rPr>
            </w:pPr>
            <w:r w:rsidRPr="00CB23A7">
              <w:rPr>
                <w:rFonts w:ascii="Trebuchet MS" w:hAnsi="Trebuchet MS"/>
                <w:b/>
                <w:snapToGrid w:val="0"/>
                <w:sz w:val="22"/>
                <w:szCs w:val="22"/>
                <w:lang w:val="ro-RO"/>
              </w:rPr>
              <w:t>Secţiunea a 8-a - Măsuri de implementare</w:t>
            </w:r>
          </w:p>
        </w:tc>
      </w:tr>
      <w:tr w:rsidR="008B516A" w:rsidRPr="00CB23A7" w:rsidTr="00346997">
        <w:trPr>
          <w:trHeight w:val="336"/>
        </w:trPr>
        <w:tc>
          <w:tcPr>
            <w:tcW w:w="3970" w:type="dxa"/>
          </w:tcPr>
          <w:p w:rsidR="00682D39" w:rsidRPr="00CB23A7" w:rsidRDefault="00836C28"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 xml:space="preserve">1. </w:t>
            </w:r>
            <w:r w:rsidR="00682D39" w:rsidRPr="00CB23A7">
              <w:rPr>
                <w:rFonts w:ascii="Trebuchet MS" w:hAnsi="Trebuchet MS"/>
                <w:snapToGrid w:val="0"/>
                <w:sz w:val="22"/>
                <w:szCs w:val="22"/>
                <w:lang w:val="ro-RO"/>
              </w:rPr>
              <w:t>Măsurile de punere î</w:t>
            </w:r>
            <w:r w:rsidRPr="00CB23A7">
              <w:rPr>
                <w:rFonts w:ascii="Trebuchet MS" w:hAnsi="Trebuchet MS"/>
                <w:snapToGrid w:val="0"/>
                <w:sz w:val="22"/>
                <w:szCs w:val="22"/>
                <w:lang w:val="ro-RO"/>
              </w:rPr>
              <w:t xml:space="preserve">n aplicare a proiectului de act </w:t>
            </w:r>
            <w:r w:rsidR="00682D39" w:rsidRPr="00CB23A7">
              <w:rPr>
                <w:rFonts w:ascii="Trebuchet MS" w:hAnsi="Trebuchet MS"/>
                <w:snapToGrid w:val="0"/>
                <w:sz w:val="22"/>
                <w:szCs w:val="22"/>
                <w:lang w:val="ro-RO"/>
              </w:rPr>
              <w:t>normativ de</w:t>
            </w:r>
            <w:r w:rsidRPr="00CB23A7">
              <w:rPr>
                <w:rFonts w:ascii="Trebuchet MS" w:hAnsi="Trebuchet MS"/>
                <w:snapToGrid w:val="0"/>
                <w:sz w:val="22"/>
                <w:szCs w:val="22"/>
                <w:lang w:val="ro-RO"/>
              </w:rPr>
              <w:t xml:space="preserve"> către</w:t>
            </w:r>
            <w:r w:rsidR="00682D39" w:rsidRPr="00CB23A7">
              <w:rPr>
                <w:rFonts w:ascii="Trebuchet MS" w:hAnsi="Trebuchet MS"/>
                <w:snapToGrid w:val="0"/>
                <w:sz w:val="22"/>
                <w:szCs w:val="22"/>
                <w:lang w:val="ro-RO"/>
              </w:rPr>
              <w:t xml:space="preserve"> autorităţile administraţiei publice centrale şi/sau locale – înfiinţarea unor noi organisme sau extinderea competenţelor instituţiilor existente</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Nu este cazul</w:t>
            </w:r>
          </w:p>
        </w:tc>
      </w:tr>
      <w:tr w:rsidR="008B516A" w:rsidRPr="00CB23A7" w:rsidTr="00346997">
        <w:trPr>
          <w:trHeight w:val="336"/>
        </w:trPr>
        <w:tc>
          <w:tcPr>
            <w:tcW w:w="3970" w:type="dxa"/>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2. Alte informaţii</w:t>
            </w:r>
          </w:p>
        </w:tc>
        <w:tc>
          <w:tcPr>
            <w:tcW w:w="7229" w:type="dxa"/>
            <w:gridSpan w:val="7"/>
          </w:tcPr>
          <w:p w:rsidR="00682D39" w:rsidRPr="00CB23A7" w:rsidRDefault="00682D39" w:rsidP="006460D9">
            <w:pPr>
              <w:spacing w:line="276" w:lineRule="auto"/>
              <w:jc w:val="both"/>
              <w:rPr>
                <w:rFonts w:ascii="Trebuchet MS" w:hAnsi="Trebuchet MS"/>
                <w:snapToGrid w:val="0"/>
                <w:sz w:val="22"/>
                <w:szCs w:val="22"/>
                <w:lang w:val="ro-RO"/>
              </w:rPr>
            </w:pPr>
            <w:r w:rsidRPr="00CB23A7">
              <w:rPr>
                <w:rFonts w:ascii="Trebuchet MS" w:hAnsi="Trebuchet MS"/>
                <w:snapToGrid w:val="0"/>
                <w:sz w:val="22"/>
                <w:szCs w:val="22"/>
                <w:lang w:val="ro-RO"/>
              </w:rPr>
              <w:t>Nu au fost identificate</w:t>
            </w:r>
          </w:p>
        </w:tc>
      </w:tr>
    </w:tbl>
    <w:p w:rsidR="00682D39" w:rsidRPr="00CB23A7" w:rsidRDefault="00682D39" w:rsidP="006460D9">
      <w:pPr>
        <w:spacing w:line="276" w:lineRule="auto"/>
        <w:ind w:left="-851" w:right="-660"/>
        <w:jc w:val="both"/>
        <w:rPr>
          <w:rFonts w:ascii="Trebuchet MS" w:hAnsi="Trebuchet MS"/>
          <w:sz w:val="22"/>
          <w:szCs w:val="22"/>
          <w:lang w:val="ro-RO"/>
        </w:rPr>
      </w:pPr>
      <w:r w:rsidRPr="00CB23A7">
        <w:rPr>
          <w:rFonts w:ascii="Trebuchet MS" w:hAnsi="Trebuchet MS"/>
          <w:snapToGrid w:val="0"/>
          <w:sz w:val="22"/>
          <w:szCs w:val="22"/>
          <w:lang w:val="ro-RO"/>
        </w:rPr>
        <w:t>Faţă de cele prezentate, a fost elaborat proiectul</w:t>
      </w:r>
      <w:r w:rsidR="00FB6F1C" w:rsidRPr="00CB23A7">
        <w:rPr>
          <w:rFonts w:ascii="Trebuchet MS" w:hAnsi="Trebuchet MS"/>
          <w:snapToGrid w:val="0"/>
          <w:sz w:val="22"/>
          <w:szCs w:val="22"/>
          <w:lang w:val="ro-RO"/>
        </w:rPr>
        <w:t xml:space="preserve"> de</w:t>
      </w:r>
      <w:r w:rsidRPr="00CB23A7">
        <w:rPr>
          <w:rFonts w:ascii="Trebuchet MS" w:hAnsi="Trebuchet MS"/>
          <w:snapToGrid w:val="0"/>
          <w:sz w:val="22"/>
          <w:szCs w:val="22"/>
          <w:lang w:val="ro-RO"/>
        </w:rPr>
        <w:t xml:space="preserve"> </w:t>
      </w:r>
      <w:r w:rsidR="002431F7" w:rsidRPr="00CB23A7">
        <w:rPr>
          <w:rFonts w:ascii="Trebuchet MS" w:hAnsi="Trebuchet MS"/>
          <w:bCs/>
          <w:sz w:val="22"/>
          <w:szCs w:val="22"/>
          <w:lang w:val="ro-RO"/>
        </w:rPr>
        <w:t xml:space="preserve">Lege </w:t>
      </w:r>
      <w:r w:rsidR="00EB0E99" w:rsidRPr="00CB23A7">
        <w:rPr>
          <w:rFonts w:ascii="Trebuchet MS" w:hAnsi="Trebuchet MS"/>
          <w:bCs/>
          <w:sz w:val="22"/>
          <w:szCs w:val="22"/>
          <w:lang w:val="ro-RO"/>
        </w:rPr>
        <w:t xml:space="preserve">privind </w:t>
      </w:r>
      <w:r w:rsidR="006D0953" w:rsidRPr="00CB23A7">
        <w:rPr>
          <w:rFonts w:ascii="Trebuchet MS" w:hAnsi="Trebuchet MS"/>
          <w:bCs/>
          <w:sz w:val="22"/>
          <w:szCs w:val="22"/>
          <w:lang w:val="ro-RO"/>
        </w:rPr>
        <w:t xml:space="preserve">organizarea judiciară </w:t>
      </w:r>
      <w:r w:rsidRPr="00CB23A7">
        <w:rPr>
          <w:rFonts w:ascii="Trebuchet MS" w:hAnsi="Trebuchet MS"/>
          <w:sz w:val="22"/>
          <w:szCs w:val="22"/>
          <w:lang w:val="ro-RO"/>
        </w:rPr>
        <w:t xml:space="preserve">pe care, dacă sunteţi de acord, vă rugăm să îl </w:t>
      </w:r>
      <w:r w:rsidR="00366D19" w:rsidRPr="00CB23A7">
        <w:rPr>
          <w:rFonts w:ascii="Trebuchet MS" w:hAnsi="Trebuchet MS"/>
          <w:sz w:val="22"/>
          <w:szCs w:val="22"/>
          <w:lang w:val="ro-RO"/>
        </w:rPr>
        <w:t>aprobați</w:t>
      </w:r>
      <w:r w:rsidRPr="00CB23A7">
        <w:rPr>
          <w:rFonts w:ascii="Trebuchet MS" w:hAnsi="Trebuchet MS"/>
          <w:sz w:val="22"/>
          <w:szCs w:val="22"/>
          <w:lang w:val="ro-RO"/>
        </w:rPr>
        <w:t>.</w:t>
      </w:r>
    </w:p>
    <w:p w:rsidR="00230621" w:rsidRPr="00CB23A7" w:rsidRDefault="00230621" w:rsidP="006460D9">
      <w:pPr>
        <w:spacing w:line="276" w:lineRule="auto"/>
        <w:ind w:left="-851" w:right="-660" w:firstLine="720"/>
        <w:jc w:val="both"/>
        <w:rPr>
          <w:rFonts w:ascii="Trebuchet MS" w:hAnsi="Trebuchet MS"/>
          <w:sz w:val="22"/>
          <w:szCs w:val="22"/>
          <w:lang w:val="ro-RO"/>
        </w:rPr>
      </w:pPr>
    </w:p>
    <w:p w:rsidR="00682D39" w:rsidRDefault="00682D39" w:rsidP="006460D9">
      <w:pPr>
        <w:spacing w:line="276" w:lineRule="auto"/>
        <w:ind w:left="-180" w:right="-212"/>
        <w:jc w:val="center"/>
        <w:outlineLvl w:val="0"/>
        <w:rPr>
          <w:rFonts w:ascii="Trebuchet MS" w:hAnsi="Trebuchet MS"/>
          <w:b/>
          <w:sz w:val="22"/>
          <w:szCs w:val="22"/>
          <w:lang w:val="ro-RO"/>
        </w:rPr>
      </w:pPr>
      <w:bookmarkStart w:id="1" w:name="_Hlk67578810"/>
      <w:r w:rsidRPr="00CB23A7">
        <w:rPr>
          <w:rFonts w:ascii="Trebuchet MS" w:hAnsi="Trebuchet MS"/>
          <w:b/>
          <w:sz w:val="22"/>
          <w:szCs w:val="22"/>
          <w:lang w:val="ro-RO"/>
        </w:rPr>
        <w:t>Ministrul Justiţiei</w:t>
      </w:r>
    </w:p>
    <w:p w:rsidR="00AD0CAD" w:rsidRDefault="00AD0CAD" w:rsidP="006460D9">
      <w:pPr>
        <w:spacing w:line="276" w:lineRule="auto"/>
        <w:ind w:left="-180" w:right="-212"/>
        <w:jc w:val="center"/>
        <w:outlineLvl w:val="0"/>
        <w:rPr>
          <w:rFonts w:ascii="Trebuchet MS" w:hAnsi="Trebuchet MS"/>
          <w:b/>
          <w:sz w:val="22"/>
          <w:szCs w:val="22"/>
          <w:lang w:val="ro-RO"/>
        </w:rPr>
      </w:pPr>
    </w:p>
    <w:p w:rsidR="00AD0CAD" w:rsidRPr="00CB23A7" w:rsidRDefault="00AD0CAD" w:rsidP="006460D9">
      <w:pPr>
        <w:spacing w:line="276" w:lineRule="auto"/>
        <w:ind w:left="-180" w:right="-212"/>
        <w:jc w:val="center"/>
        <w:outlineLvl w:val="0"/>
        <w:rPr>
          <w:rFonts w:ascii="Trebuchet MS" w:hAnsi="Trebuchet MS"/>
          <w:b/>
          <w:sz w:val="22"/>
          <w:szCs w:val="22"/>
          <w:lang w:val="ro-RO"/>
        </w:rPr>
      </w:pPr>
    </w:p>
    <w:p w:rsidR="00363406" w:rsidRDefault="00363406" w:rsidP="006460D9">
      <w:pPr>
        <w:spacing w:line="276" w:lineRule="auto"/>
        <w:ind w:left="-180" w:right="-212"/>
        <w:jc w:val="center"/>
        <w:outlineLvl w:val="0"/>
        <w:rPr>
          <w:rFonts w:ascii="Trebuchet MS" w:hAnsi="Trebuchet MS"/>
          <w:b/>
          <w:sz w:val="22"/>
          <w:szCs w:val="22"/>
          <w:lang w:val="ro-RO"/>
        </w:rPr>
      </w:pPr>
      <w:r>
        <w:rPr>
          <w:rFonts w:ascii="Trebuchet MS" w:hAnsi="Trebuchet MS"/>
          <w:b/>
          <w:sz w:val="22"/>
          <w:szCs w:val="22"/>
          <w:lang w:val="ro-RO"/>
        </w:rPr>
        <w:t>Stelian – Cristian ION</w:t>
      </w:r>
    </w:p>
    <w:p w:rsidR="00363406" w:rsidRDefault="00363406" w:rsidP="006460D9">
      <w:pPr>
        <w:spacing w:line="276" w:lineRule="auto"/>
        <w:ind w:left="-180" w:right="-212"/>
        <w:jc w:val="center"/>
        <w:outlineLvl w:val="0"/>
        <w:rPr>
          <w:rFonts w:ascii="Trebuchet MS" w:hAnsi="Trebuchet MS"/>
          <w:b/>
          <w:sz w:val="22"/>
          <w:szCs w:val="22"/>
          <w:u w:val="single"/>
          <w:lang w:val="ro-RO"/>
        </w:rPr>
      </w:pPr>
    </w:p>
    <w:p w:rsidR="00363406" w:rsidRDefault="00363406" w:rsidP="006460D9">
      <w:pPr>
        <w:spacing w:line="276" w:lineRule="auto"/>
        <w:ind w:left="-180" w:right="-212"/>
        <w:jc w:val="center"/>
        <w:outlineLvl w:val="0"/>
        <w:rPr>
          <w:rFonts w:ascii="Trebuchet MS" w:hAnsi="Trebuchet MS"/>
          <w:b/>
          <w:sz w:val="22"/>
          <w:szCs w:val="22"/>
          <w:lang w:val="ro-RO"/>
        </w:rPr>
      </w:pPr>
      <w:r w:rsidRPr="00363406">
        <w:rPr>
          <w:rFonts w:ascii="Trebuchet MS" w:hAnsi="Trebuchet MS"/>
          <w:b/>
          <w:sz w:val="22"/>
          <w:szCs w:val="22"/>
          <w:u w:val="single"/>
          <w:lang w:val="ro-RO"/>
        </w:rPr>
        <w:t>Avizăm favorabil</w:t>
      </w:r>
      <w:r w:rsidRPr="00363406">
        <w:rPr>
          <w:rFonts w:ascii="Trebuchet MS" w:hAnsi="Trebuchet MS"/>
          <w:b/>
          <w:sz w:val="22"/>
          <w:szCs w:val="22"/>
          <w:lang w:val="ro-RO"/>
        </w:rPr>
        <w:t>:</w:t>
      </w:r>
    </w:p>
    <w:p w:rsidR="00AD0CAD" w:rsidRDefault="00AD0CAD" w:rsidP="006460D9">
      <w:pPr>
        <w:spacing w:line="276" w:lineRule="auto"/>
        <w:ind w:left="-180" w:right="-212"/>
        <w:jc w:val="center"/>
        <w:outlineLvl w:val="0"/>
        <w:rPr>
          <w:rFonts w:ascii="Trebuchet MS" w:hAnsi="Trebuchet MS"/>
          <w:b/>
          <w:sz w:val="22"/>
          <w:szCs w:val="22"/>
          <w:u w:val="single"/>
          <w:lang w:val="ro-RO"/>
        </w:rPr>
      </w:pPr>
    </w:p>
    <w:p w:rsidR="00AD0CAD" w:rsidRPr="00AD0CAD" w:rsidRDefault="00646F81" w:rsidP="00AD0CAD">
      <w:pPr>
        <w:spacing w:line="276" w:lineRule="auto"/>
        <w:ind w:left="-180" w:right="-212"/>
        <w:jc w:val="center"/>
        <w:outlineLvl w:val="0"/>
        <w:rPr>
          <w:rFonts w:ascii="Trebuchet MS" w:hAnsi="Trebuchet MS"/>
          <w:b/>
          <w:sz w:val="22"/>
          <w:szCs w:val="22"/>
          <w:u w:val="single"/>
          <w:lang w:val="ro-RO"/>
        </w:rPr>
      </w:pPr>
      <w:r>
        <w:rPr>
          <w:rFonts w:ascii="Trebuchet MS" w:hAnsi="Trebuchet MS"/>
          <w:b/>
          <w:sz w:val="22"/>
          <w:szCs w:val="22"/>
          <w:lang w:val="ro-RO"/>
        </w:rPr>
        <w:t>V</w:t>
      </w:r>
      <w:r w:rsidRPr="00AD0CAD">
        <w:rPr>
          <w:rFonts w:ascii="Trebuchet MS" w:hAnsi="Trebuchet MS"/>
          <w:b/>
          <w:sz w:val="22"/>
          <w:szCs w:val="22"/>
          <w:lang w:val="ro-RO"/>
        </w:rPr>
        <w:t>iceprim-ministru</w:t>
      </w: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Pr="00AD0CAD" w:rsidRDefault="00AD0CAD" w:rsidP="00AD0CAD">
      <w:pPr>
        <w:spacing w:line="276" w:lineRule="auto"/>
        <w:ind w:left="-180" w:right="-212"/>
        <w:jc w:val="center"/>
        <w:outlineLvl w:val="0"/>
        <w:rPr>
          <w:rFonts w:ascii="Trebuchet MS" w:hAnsi="Trebuchet MS"/>
          <w:b/>
          <w:sz w:val="22"/>
          <w:szCs w:val="22"/>
          <w:lang w:val="ro-RO"/>
        </w:rPr>
      </w:pPr>
    </w:p>
    <w:p w:rsidR="00646F81" w:rsidRDefault="00646F81" w:rsidP="00646F81">
      <w:pPr>
        <w:spacing w:line="276" w:lineRule="auto"/>
        <w:ind w:left="-180" w:right="-212"/>
        <w:jc w:val="center"/>
        <w:outlineLvl w:val="0"/>
        <w:rPr>
          <w:rFonts w:ascii="Trebuchet MS" w:hAnsi="Trebuchet MS"/>
          <w:b/>
          <w:sz w:val="22"/>
          <w:szCs w:val="22"/>
          <w:lang w:val="ro-RO"/>
        </w:rPr>
      </w:pPr>
      <w:r w:rsidRPr="00AD0CAD">
        <w:rPr>
          <w:rFonts w:ascii="Trebuchet MS" w:hAnsi="Trebuchet MS"/>
          <w:b/>
          <w:sz w:val="22"/>
          <w:szCs w:val="22"/>
          <w:lang w:val="ro-RO"/>
        </w:rPr>
        <w:t>Ilie</w:t>
      </w:r>
      <w:r>
        <w:rPr>
          <w:rFonts w:ascii="Trebuchet MS" w:hAnsi="Trebuchet MS"/>
          <w:b/>
          <w:sz w:val="22"/>
          <w:szCs w:val="22"/>
          <w:lang w:val="ro-RO"/>
        </w:rPr>
        <w:t xml:space="preserve"> </w:t>
      </w:r>
      <w:r w:rsidRPr="00AD0CAD">
        <w:rPr>
          <w:rFonts w:ascii="Trebuchet MS" w:hAnsi="Trebuchet MS"/>
          <w:b/>
          <w:sz w:val="22"/>
          <w:szCs w:val="22"/>
          <w:lang w:val="ro-RO"/>
        </w:rPr>
        <w:t>-</w:t>
      </w:r>
      <w:r>
        <w:rPr>
          <w:rFonts w:ascii="Trebuchet MS" w:hAnsi="Trebuchet MS"/>
          <w:b/>
          <w:sz w:val="22"/>
          <w:szCs w:val="22"/>
          <w:lang w:val="ro-RO"/>
        </w:rPr>
        <w:t xml:space="preserve"> </w:t>
      </w:r>
      <w:r w:rsidRPr="00AD0CAD">
        <w:rPr>
          <w:rFonts w:ascii="Trebuchet MS" w:hAnsi="Trebuchet MS"/>
          <w:b/>
          <w:sz w:val="22"/>
          <w:szCs w:val="22"/>
          <w:lang w:val="ro-RO"/>
        </w:rPr>
        <w:t>Dan BARNA</w:t>
      </w:r>
    </w:p>
    <w:bookmarkEnd w:id="1"/>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AD0CAD" w:rsidTr="00AD0CAD">
        <w:tc>
          <w:tcPr>
            <w:tcW w:w="4839" w:type="dxa"/>
          </w:tcPr>
          <w:p w:rsidR="00AD0CAD" w:rsidRDefault="00AD0CAD" w:rsidP="00AD0CAD">
            <w:pPr>
              <w:spacing w:line="276" w:lineRule="auto"/>
              <w:ind w:left="-180" w:right="-212"/>
              <w:jc w:val="center"/>
              <w:outlineLvl w:val="0"/>
              <w:rPr>
                <w:rFonts w:ascii="Trebuchet MS" w:hAnsi="Trebuchet MS"/>
                <w:b/>
                <w:sz w:val="22"/>
                <w:szCs w:val="22"/>
                <w:lang w:val="ro-RO"/>
              </w:rPr>
            </w:pPr>
            <w:r w:rsidRPr="00363406">
              <w:rPr>
                <w:rFonts w:ascii="Trebuchet MS" w:hAnsi="Trebuchet MS"/>
                <w:b/>
                <w:sz w:val="22"/>
                <w:szCs w:val="22"/>
                <w:lang w:val="ro-RO"/>
              </w:rPr>
              <w:t>Ministrul Muncii şi Protecţiei Sociale</w:t>
            </w: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r>
              <w:rPr>
                <w:rFonts w:ascii="Trebuchet MS" w:hAnsi="Trebuchet MS"/>
                <w:b/>
                <w:sz w:val="22"/>
                <w:szCs w:val="22"/>
                <w:lang w:val="ro-RO"/>
              </w:rPr>
              <w:t>Raluca TURCAN</w:t>
            </w:r>
          </w:p>
          <w:p w:rsidR="00AD0CAD" w:rsidRDefault="00AD0CAD" w:rsidP="00AD0CAD">
            <w:pPr>
              <w:spacing w:line="276" w:lineRule="auto"/>
              <w:ind w:right="-212"/>
              <w:jc w:val="center"/>
              <w:outlineLvl w:val="0"/>
              <w:rPr>
                <w:rFonts w:ascii="Trebuchet MS" w:hAnsi="Trebuchet MS"/>
                <w:b/>
                <w:sz w:val="22"/>
                <w:szCs w:val="22"/>
                <w:lang w:val="ro-RO"/>
              </w:rPr>
            </w:pPr>
          </w:p>
        </w:tc>
        <w:tc>
          <w:tcPr>
            <w:tcW w:w="4839" w:type="dxa"/>
          </w:tcPr>
          <w:p w:rsidR="00AD0CAD" w:rsidRDefault="00AD0CAD" w:rsidP="00AD0CAD">
            <w:pPr>
              <w:spacing w:line="276" w:lineRule="auto"/>
              <w:ind w:left="-180" w:right="-212"/>
              <w:jc w:val="center"/>
              <w:outlineLvl w:val="0"/>
              <w:rPr>
                <w:rFonts w:ascii="Trebuchet MS" w:hAnsi="Trebuchet MS"/>
                <w:b/>
                <w:sz w:val="22"/>
                <w:szCs w:val="22"/>
                <w:lang w:val="ro-RO"/>
              </w:rPr>
            </w:pPr>
            <w:r>
              <w:rPr>
                <w:rFonts w:ascii="Trebuchet MS" w:hAnsi="Trebuchet MS"/>
                <w:b/>
                <w:sz w:val="22"/>
                <w:szCs w:val="22"/>
                <w:lang w:val="ro-RO"/>
              </w:rPr>
              <w:t>Ministrul Finanţelor</w:t>
            </w: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r>
              <w:rPr>
                <w:rFonts w:ascii="Trebuchet MS" w:hAnsi="Trebuchet MS"/>
                <w:b/>
                <w:sz w:val="22"/>
                <w:szCs w:val="22"/>
                <w:lang w:val="ro-RO"/>
              </w:rPr>
              <w:t>Alexandru NAZARE</w:t>
            </w: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spacing w:line="276" w:lineRule="auto"/>
              <w:ind w:right="-212"/>
              <w:jc w:val="center"/>
              <w:outlineLvl w:val="0"/>
              <w:rPr>
                <w:rFonts w:ascii="Trebuchet MS" w:hAnsi="Trebuchet MS"/>
                <w:b/>
                <w:sz w:val="22"/>
                <w:szCs w:val="22"/>
                <w:lang w:val="ro-RO"/>
              </w:rPr>
            </w:pPr>
          </w:p>
        </w:tc>
      </w:tr>
      <w:tr w:rsidR="00AD0CAD" w:rsidTr="00AD0CAD">
        <w:tc>
          <w:tcPr>
            <w:tcW w:w="4839" w:type="dxa"/>
          </w:tcPr>
          <w:p w:rsidR="00AD0CAD" w:rsidRDefault="00AD0CAD" w:rsidP="00AD0CAD">
            <w:pPr>
              <w:spacing w:line="276" w:lineRule="auto"/>
              <w:ind w:left="-180" w:right="-212"/>
              <w:jc w:val="center"/>
              <w:outlineLvl w:val="0"/>
              <w:rPr>
                <w:rFonts w:ascii="Trebuchet MS" w:hAnsi="Trebuchet MS"/>
                <w:b/>
                <w:sz w:val="22"/>
                <w:szCs w:val="22"/>
                <w:lang w:val="ro-RO"/>
              </w:rPr>
            </w:pPr>
            <w:r w:rsidRPr="00661083">
              <w:rPr>
                <w:rFonts w:ascii="Trebuchet MS" w:hAnsi="Trebuchet MS"/>
                <w:b/>
                <w:sz w:val="22"/>
                <w:szCs w:val="22"/>
                <w:lang w:val="ro-RO"/>
              </w:rPr>
              <w:t>Ministrul Apărării Naţionale</w:t>
            </w:r>
          </w:p>
          <w:p w:rsidR="00AD0CAD" w:rsidRDefault="00AD0CAD" w:rsidP="00AD0CAD">
            <w:pPr>
              <w:spacing w:line="276" w:lineRule="auto"/>
              <w:ind w:left="-180" w:right="-212"/>
              <w:jc w:val="center"/>
              <w:outlineLvl w:val="0"/>
              <w:rPr>
                <w:rFonts w:ascii="Trebuchet MS" w:hAnsi="Trebuchet MS"/>
                <w:b/>
                <w:sz w:val="22"/>
                <w:szCs w:val="22"/>
                <w:lang w:val="ro-RO"/>
              </w:rPr>
            </w:pPr>
          </w:p>
          <w:p w:rsidR="00AD0CAD" w:rsidRPr="00661083" w:rsidRDefault="00AD0CAD" w:rsidP="00AD0CAD">
            <w:pPr>
              <w:spacing w:line="276" w:lineRule="auto"/>
              <w:ind w:left="-180" w:right="-212"/>
              <w:jc w:val="center"/>
              <w:outlineLvl w:val="0"/>
              <w:rPr>
                <w:rFonts w:ascii="Trebuchet MS" w:hAnsi="Trebuchet MS"/>
                <w:b/>
                <w:sz w:val="22"/>
                <w:szCs w:val="22"/>
                <w:lang w:val="ro-RO"/>
              </w:rPr>
            </w:pPr>
          </w:p>
          <w:p w:rsidR="00AD0CAD" w:rsidRDefault="00AD0CAD" w:rsidP="00AD0CAD">
            <w:pPr>
              <w:pStyle w:val="Heading3"/>
              <w:shd w:val="clear" w:color="auto" w:fill="FFFFFF"/>
              <w:spacing w:before="0"/>
              <w:ind w:left="-284"/>
              <w:jc w:val="center"/>
              <w:textAlignment w:val="baseline"/>
              <w:outlineLvl w:val="2"/>
              <w:rPr>
                <w:rFonts w:ascii="Trebuchet MS" w:hAnsi="Trebuchet MS"/>
                <w:b/>
                <w:color w:val="auto"/>
                <w:sz w:val="22"/>
                <w:szCs w:val="22"/>
                <w:bdr w:val="none" w:sz="0" w:space="0" w:color="auto" w:frame="1"/>
                <w:lang w:val="ro-RO"/>
              </w:rPr>
            </w:pPr>
            <w:r w:rsidRPr="00661083">
              <w:rPr>
                <w:rFonts w:ascii="Trebuchet MS" w:hAnsi="Trebuchet MS"/>
                <w:b/>
                <w:color w:val="auto"/>
                <w:sz w:val="22"/>
                <w:szCs w:val="22"/>
                <w:bdr w:val="none" w:sz="0" w:space="0" w:color="auto" w:frame="1"/>
                <w:lang w:val="ro-RO"/>
              </w:rPr>
              <w:t>Nicolae-Ionel CIUCĂ</w:t>
            </w:r>
          </w:p>
          <w:p w:rsidR="00AD0CAD" w:rsidRDefault="00AD0CAD" w:rsidP="00AD0CAD">
            <w:pPr>
              <w:spacing w:line="276" w:lineRule="auto"/>
              <w:ind w:right="-212"/>
              <w:jc w:val="center"/>
              <w:outlineLvl w:val="0"/>
              <w:rPr>
                <w:rFonts w:ascii="Trebuchet MS" w:hAnsi="Trebuchet MS"/>
                <w:b/>
                <w:sz w:val="22"/>
                <w:szCs w:val="22"/>
                <w:lang w:val="ro-RO"/>
              </w:rPr>
            </w:pPr>
          </w:p>
        </w:tc>
        <w:tc>
          <w:tcPr>
            <w:tcW w:w="4839" w:type="dxa"/>
          </w:tcPr>
          <w:p w:rsidR="00646F81" w:rsidRDefault="00646F81" w:rsidP="00646F81">
            <w:pPr>
              <w:spacing w:line="276" w:lineRule="auto"/>
              <w:ind w:left="-180" w:right="-212"/>
              <w:jc w:val="center"/>
              <w:outlineLvl w:val="0"/>
              <w:rPr>
                <w:rFonts w:ascii="Trebuchet MS" w:hAnsi="Trebuchet MS"/>
                <w:b/>
                <w:sz w:val="22"/>
                <w:szCs w:val="22"/>
                <w:lang w:val="ro-RO"/>
              </w:rPr>
            </w:pPr>
            <w:r>
              <w:rPr>
                <w:rFonts w:ascii="Trebuchet MS" w:hAnsi="Trebuchet MS"/>
                <w:b/>
                <w:sz w:val="22"/>
                <w:szCs w:val="22"/>
                <w:lang w:val="ro-RO"/>
              </w:rPr>
              <w:t>M</w:t>
            </w:r>
            <w:r w:rsidRPr="00646F81">
              <w:rPr>
                <w:rFonts w:ascii="Trebuchet MS" w:hAnsi="Trebuchet MS"/>
                <w:b/>
                <w:sz w:val="22"/>
                <w:szCs w:val="22"/>
                <w:lang w:val="ro-RO"/>
              </w:rPr>
              <w:t>inistrul afacerilor interne</w:t>
            </w:r>
          </w:p>
          <w:p w:rsidR="00646F81" w:rsidRDefault="00646F81" w:rsidP="00646F81">
            <w:pPr>
              <w:spacing w:line="276" w:lineRule="auto"/>
              <w:ind w:left="-180" w:right="-212"/>
              <w:jc w:val="center"/>
              <w:outlineLvl w:val="0"/>
              <w:rPr>
                <w:rFonts w:ascii="Trebuchet MS" w:hAnsi="Trebuchet MS"/>
                <w:b/>
                <w:sz w:val="22"/>
                <w:szCs w:val="22"/>
                <w:lang w:val="ro-RO"/>
              </w:rPr>
            </w:pPr>
          </w:p>
          <w:p w:rsidR="00646F81" w:rsidRPr="00AD0CAD" w:rsidRDefault="00646F81" w:rsidP="00646F81">
            <w:pPr>
              <w:spacing w:line="276" w:lineRule="auto"/>
              <w:ind w:left="-180" w:right="-212"/>
              <w:jc w:val="center"/>
              <w:outlineLvl w:val="0"/>
              <w:rPr>
                <w:rFonts w:ascii="Trebuchet MS" w:hAnsi="Trebuchet MS"/>
                <w:b/>
                <w:sz w:val="22"/>
                <w:szCs w:val="22"/>
                <w:lang w:val="ro-RO"/>
              </w:rPr>
            </w:pPr>
          </w:p>
          <w:p w:rsidR="00646F81" w:rsidRDefault="00646F81" w:rsidP="00646F81">
            <w:pPr>
              <w:spacing w:line="276" w:lineRule="auto"/>
              <w:ind w:left="-180" w:right="-212"/>
              <w:jc w:val="center"/>
              <w:outlineLvl w:val="0"/>
              <w:rPr>
                <w:rFonts w:ascii="Trebuchet MS" w:hAnsi="Trebuchet MS"/>
                <w:b/>
                <w:sz w:val="22"/>
                <w:szCs w:val="22"/>
                <w:lang w:val="ro-RO"/>
              </w:rPr>
            </w:pPr>
            <w:r w:rsidRPr="00646F81">
              <w:rPr>
                <w:rFonts w:ascii="Trebuchet MS" w:hAnsi="Trebuchet MS"/>
                <w:b/>
                <w:sz w:val="22"/>
                <w:szCs w:val="22"/>
                <w:lang w:val="ro-RO"/>
              </w:rPr>
              <w:t>Lucian Nicolae BODE</w:t>
            </w:r>
          </w:p>
          <w:p w:rsidR="00AD0CAD" w:rsidRPr="00661083" w:rsidRDefault="00AD0CAD" w:rsidP="00AD0CAD">
            <w:pPr>
              <w:jc w:val="center"/>
              <w:rPr>
                <w:lang w:val="ro-RO"/>
              </w:rPr>
            </w:pPr>
          </w:p>
          <w:p w:rsidR="00AD0CAD" w:rsidRPr="00363406" w:rsidRDefault="00AD0CAD" w:rsidP="00AD0CAD">
            <w:pPr>
              <w:spacing w:line="276" w:lineRule="auto"/>
              <w:ind w:left="-180" w:right="-212"/>
              <w:jc w:val="center"/>
              <w:outlineLvl w:val="0"/>
              <w:rPr>
                <w:rFonts w:ascii="Trebuchet MS" w:hAnsi="Trebuchet MS"/>
                <w:b/>
                <w:sz w:val="22"/>
                <w:szCs w:val="22"/>
                <w:u w:val="single"/>
                <w:lang w:val="ro-RO"/>
              </w:rPr>
            </w:pPr>
            <w:r>
              <w:rPr>
                <w:rFonts w:ascii="Trebuchet MS" w:hAnsi="Trebuchet MS"/>
                <w:b/>
                <w:sz w:val="22"/>
                <w:szCs w:val="22"/>
                <w:u w:val="single"/>
                <w:lang w:val="ro-RO"/>
              </w:rPr>
              <w:t xml:space="preserve"> </w:t>
            </w:r>
            <w:r w:rsidRPr="00363406">
              <w:rPr>
                <w:rFonts w:ascii="Trebuchet MS" w:hAnsi="Trebuchet MS"/>
                <w:b/>
                <w:sz w:val="22"/>
                <w:szCs w:val="22"/>
                <w:u w:val="single"/>
                <w:lang w:val="ro-RO"/>
              </w:rPr>
              <w:t xml:space="preserve"> </w:t>
            </w:r>
          </w:p>
          <w:p w:rsidR="00AD0CAD" w:rsidRDefault="00AD0CAD" w:rsidP="00AD0CAD">
            <w:pPr>
              <w:spacing w:line="276" w:lineRule="auto"/>
              <w:ind w:right="-212"/>
              <w:jc w:val="center"/>
              <w:outlineLvl w:val="0"/>
              <w:rPr>
                <w:rFonts w:ascii="Trebuchet MS" w:hAnsi="Trebuchet MS"/>
                <w:b/>
                <w:sz w:val="22"/>
                <w:szCs w:val="22"/>
                <w:lang w:val="ro-RO"/>
              </w:rPr>
            </w:pPr>
          </w:p>
        </w:tc>
      </w:tr>
    </w:tbl>
    <w:p w:rsidR="00646F81" w:rsidRDefault="00646F81" w:rsidP="00646F81">
      <w:pPr>
        <w:pStyle w:val="NormalWeb"/>
        <w:shd w:val="clear" w:color="auto" w:fill="FFFFFF"/>
        <w:spacing w:before="0" w:beforeAutospacing="0" w:after="0" w:afterAutospacing="0" w:line="276" w:lineRule="auto"/>
        <w:ind w:firstLine="720"/>
        <w:jc w:val="center"/>
        <w:textAlignment w:val="baseline"/>
        <w:rPr>
          <w:rFonts w:ascii="Trebuchet MS" w:hAnsi="Trebuchet MS"/>
          <w:b/>
          <w:sz w:val="22"/>
          <w:szCs w:val="22"/>
          <w:lang w:val="ro-RO"/>
        </w:rPr>
      </w:pPr>
      <w:r w:rsidRPr="00661083">
        <w:rPr>
          <w:rFonts w:ascii="Trebuchet MS" w:hAnsi="Trebuchet MS"/>
          <w:b/>
          <w:sz w:val="22"/>
          <w:szCs w:val="22"/>
          <w:lang w:val="ro-RO"/>
        </w:rPr>
        <w:t>Preşedinte</w:t>
      </w:r>
      <w:r>
        <w:rPr>
          <w:rFonts w:ascii="Trebuchet MS" w:hAnsi="Trebuchet MS"/>
          <w:b/>
          <w:sz w:val="22"/>
          <w:szCs w:val="22"/>
          <w:lang w:val="ro-RO"/>
        </w:rPr>
        <w:t>le</w:t>
      </w:r>
      <w:r w:rsidRPr="00661083">
        <w:rPr>
          <w:rFonts w:ascii="Trebuchet MS" w:hAnsi="Trebuchet MS"/>
          <w:b/>
          <w:sz w:val="22"/>
          <w:szCs w:val="22"/>
          <w:lang w:val="ro-RO"/>
        </w:rPr>
        <w:t xml:space="preserve"> Agenţi</w:t>
      </w:r>
      <w:r>
        <w:rPr>
          <w:rFonts w:ascii="Trebuchet MS" w:hAnsi="Trebuchet MS"/>
          <w:b/>
          <w:sz w:val="22"/>
          <w:szCs w:val="22"/>
          <w:lang w:val="ro-RO"/>
        </w:rPr>
        <w:t>ei</w:t>
      </w:r>
      <w:r w:rsidRPr="00661083">
        <w:rPr>
          <w:rFonts w:ascii="Trebuchet MS" w:hAnsi="Trebuchet MS"/>
          <w:b/>
          <w:sz w:val="22"/>
          <w:szCs w:val="22"/>
          <w:lang w:val="ro-RO"/>
        </w:rPr>
        <w:t xml:space="preserve"> Naţional</w:t>
      </w:r>
      <w:r>
        <w:rPr>
          <w:rFonts w:ascii="Trebuchet MS" w:hAnsi="Trebuchet MS"/>
          <w:b/>
          <w:sz w:val="22"/>
          <w:szCs w:val="22"/>
          <w:lang w:val="ro-RO"/>
        </w:rPr>
        <w:t>e</w:t>
      </w:r>
      <w:r w:rsidRPr="00661083">
        <w:rPr>
          <w:rFonts w:ascii="Trebuchet MS" w:hAnsi="Trebuchet MS"/>
          <w:b/>
          <w:sz w:val="22"/>
          <w:szCs w:val="22"/>
          <w:lang w:val="ro-RO"/>
        </w:rPr>
        <w:t xml:space="preserve"> a Funcţionarilor Publici</w:t>
      </w:r>
    </w:p>
    <w:p w:rsidR="00646F81" w:rsidRDefault="00646F81" w:rsidP="00646F81">
      <w:pPr>
        <w:pStyle w:val="NormalWeb"/>
        <w:shd w:val="clear" w:color="auto" w:fill="FFFFFF"/>
        <w:spacing w:before="0" w:beforeAutospacing="0" w:after="0" w:afterAutospacing="0" w:line="276" w:lineRule="auto"/>
        <w:ind w:firstLine="720"/>
        <w:jc w:val="center"/>
        <w:textAlignment w:val="baseline"/>
        <w:rPr>
          <w:rFonts w:ascii="Trebuchet MS" w:hAnsi="Trebuchet MS"/>
          <w:b/>
          <w:sz w:val="22"/>
          <w:szCs w:val="22"/>
          <w:lang w:val="ro-RO"/>
        </w:rPr>
      </w:pPr>
    </w:p>
    <w:p w:rsidR="00646F81" w:rsidRPr="00661083" w:rsidRDefault="00646F81" w:rsidP="00646F81">
      <w:pPr>
        <w:pStyle w:val="NormalWeb"/>
        <w:shd w:val="clear" w:color="auto" w:fill="FFFFFF"/>
        <w:spacing w:before="0" w:beforeAutospacing="0" w:after="0" w:afterAutospacing="0" w:line="276" w:lineRule="auto"/>
        <w:ind w:firstLine="720"/>
        <w:jc w:val="center"/>
        <w:textAlignment w:val="baseline"/>
        <w:rPr>
          <w:rFonts w:ascii="Trebuchet MS" w:hAnsi="Trebuchet MS"/>
          <w:b/>
          <w:sz w:val="22"/>
          <w:szCs w:val="22"/>
          <w:lang w:val="ro-RO"/>
        </w:rPr>
      </w:pPr>
    </w:p>
    <w:p w:rsidR="00646F81" w:rsidRDefault="00646F81" w:rsidP="00646F81">
      <w:pPr>
        <w:spacing w:line="276" w:lineRule="auto"/>
        <w:ind w:left="-180" w:right="-212"/>
        <w:jc w:val="center"/>
        <w:outlineLvl w:val="0"/>
        <w:rPr>
          <w:rFonts w:ascii="Trebuchet MS" w:hAnsi="Trebuchet MS"/>
          <w:b/>
          <w:sz w:val="22"/>
          <w:szCs w:val="22"/>
          <w:lang w:val="ro-RO"/>
        </w:rPr>
      </w:pPr>
      <w:r w:rsidRPr="00661083">
        <w:rPr>
          <w:rFonts w:ascii="Trebuchet MS" w:hAnsi="Trebuchet MS"/>
          <w:b/>
          <w:sz w:val="22"/>
          <w:szCs w:val="22"/>
          <w:lang w:val="ro-RO"/>
        </w:rPr>
        <w:t>Liviu MĂLUREANU</w:t>
      </w:r>
    </w:p>
    <w:sectPr w:rsidR="00646F81" w:rsidSect="004040DA">
      <w:footerReference w:type="even" r:id="rId8"/>
      <w:footerReference w:type="default" r:id="rId9"/>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7A" w:rsidRDefault="00A12C7A">
      <w:r>
        <w:separator/>
      </w:r>
    </w:p>
  </w:endnote>
  <w:endnote w:type="continuationSeparator" w:id="0">
    <w:p w:rsidR="00A12C7A" w:rsidRDefault="00A1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7949DD" w:rsidRDefault="00A12C7A" w:rsidP="00A166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9DD" w:rsidRDefault="00CD641B" w:rsidP="001D020A">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sidR="00380CB0">
      <w:rPr>
        <w:rStyle w:val="PageNumber"/>
        <w:rFonts w:eastAsia="Arial"/>
        <w:noProof/>
      </w:rPr>
      <w:t>10</w:t>
    </w:r>
    <w:r>
      <w:rPr>
        <w:rStyle w:val="PageNumber"/>
        <w:rFonts w:eastAsia="Arial"/>
      </w:rPr>
      <w:fldChar w:fldCharType="end"/>
    </w:r>
  </w:p>
  <w:p w:rsidR="007949DD" w:rsidRDefault="00A12C7A" w:rsidP="00A166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7A" w:rsidRDefault="00A12C7A">
      <w:r>
        <w:separator/>
      </w:r>
    </w:p>
  </w:footnote>
  <w:footnote w:type="continuationSeparator" w:id="0">
    <w:p w:rsidR="00A12C7A" w:rsidRDefault="00A1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BEC"/>
    <w:multiLevelType w:val="hybridMultilevel"/>
    <w:tmpl w:val="26364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91E"/>
    <w:multiLevelType w:val="hybridMultilevel"/>
    <w:tmpl w:val="76507D24"/>
    <w:lvl w:ilvl="0" w:tplc="0AE68846">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AA2"/>
    <w:multiLevelType w:val="hybridMultilevel"/>
    <w:tmpl w:val="4DF04F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D45D63"/>
    <w:multiLevelType w:val="hybridMultilevel"/>
    <w:tmpl w:val="BE6225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4F287D"/>
    <w:multiLevelType w:val="hybridMultilevel"/>
    <w:tmpl w:val="4DD08EA0"/>
    <w:lvl w:ilvl="0" w:tplc="344EDB00">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5" w15:restartNumberingAfterBreak="0">
    <w:nsid w:val="16B01A13"/>
    <w:multiLevelType w:val="hybridMultilevel"/>
    <w:tmpl w:val="E8AEF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7731C"/>
    <w:multiLevelType w:val="hybridMultilevel"/>
    <w:tmpl w:val="CB8EB4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A429A"/>
    <w:multiLevelType w:val="hybridMultilevel"/>
    <w:tmpl w:val="BDD297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C41C2"/>
    <w:multiLevelType w:val="hybridMultilevel"/>
    <w:tmpl w:val="DF00B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95CFF"/>
    <w:multiLevelType w:val="hybridMultilevel"/>
    <w:tmpl w:val="BBA8A22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4671"/>
    <w:multiLevelType w:val="hybridMultilevel"/>
    <w:tmpl w:val="25882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617A4"/>
    <w:multiLevelType w:val="hybridMultilevel"/>
    <w:tmpl w:val="E034E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41A69"/>
    <w:multiLevelType w:val="hybridMultilevel"/>
    <w:tmpl w:val="DBA02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94230A"/>
    <w:multiLevelType w:val="hybridMultilevel"/>
    <w:tmpl w:val="DDCA276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E3E3F"/>
    <w:multiLevelType w:val="hybridMultilevel"/>
    <w:tmpl w:val="455C5046"/>
    <w:lvl w:ilvl="0" w:tplc="1D687A3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2581B"/>
    <w:multiLevelType w:val="hybridMultilevel"/>
    <w:tmpl w:val="13BA3A0E"/>
    <w:lvl w:ilvl="0" w:tplc="0809000B">
      <w:start w:val="1"/>
      <w:numFmt w:val="bullet"/>
      <w:lvlText w:val=""/>
      <w:lvlJc w:val="left"/>
      <w:pPr>
        <w:ind w:left="720" w:hanging="360"/>
      </w:pPr>
      <w:rPr>
        <w:rFonts w:ascii="Wingdings" w:hAnsi="Wingdings" w:hint="default"/>
      </w:rPr>
    </w:lvl>
    <w:lvl w:ilvl="1" w:tplc="8EACDB0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674F1"/>
    <w:multiLevelType w:val="hybridMultilevel"/>
    <w:tmpl w:val="063C85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803B15"/>
    <w:multiLevelType w:val="hybridMultilevel"/>
    <w:tmpl w:val="AAA86B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54D0F"/>
    <w:multiLevelType w:val="hybridMultilevel"/>
    <w:tmpl w:val="8A961F06"/>
    <w:lvl w:ilvl="0" w:tplc="260A9098">
      <w:start w:val="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7913CE6"/>
    <w:multiLevelType w:val="hybridMultilevel"/>
    <w:tmpl w:val="6C66EC5A"/>
    <w:lvl w:ilvl="0" w:tplc="AFD4054C">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61801"/>
    <w:multiLevelType w:val="hybridMultilevel"/>
    <w:tmpl w:val="059ED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96C97"/>
    <w:multiLevelType w:val="hybridMultilevel"/>
    <w:tmpl w:val="368CF020"/>
    <w:lvl w:ilvl="0" w:tplc="B0BC8C48">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23" w15:restartNumberingAfterBreak="0">
    <w:nsid w:val="56C34D3F"/>
    <w:multiLevelType w:val="hybridMultilevel"/>
    <w:tmpl w:val="63DC82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A62E7"/>
    <w:multiLevelType w:val="hybridMultilevel"/>
    <w:tmpl w:val="2BB8B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24B0A"/>
    <w:multiLevelType w:val="hybridMultilevel"/>
    <w:tmpl w:val="7C82F012"/>
    <w:lvl w:ilvl="0" w:tplc="D9DC823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7250F"/>
    <w:multiLevelType w:val="hybridMultilevel"/>
    <w:tmpl w:val="3F8E95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5152B8C"/>
    <w:multiLevelType w:val="hybridMultilevel"/>
    <w:tmpl w:val="87AEC1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42000"/>
    <w:multiLevelType w:val="hybridMultilevel"/>
    <w:tmpl w:val="BA6664DE"/>
    <w:lvl w:ilvl="0" w:tplc="0838A15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E2D5F"/>
    <w:multiLevelType w:val="hybridMultilevel"/>
    <w:tmpl w:val="BDCCABBE"/>
    <w:lvl w:ilvl="0" w:tplc="1444E83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76FD3"/>
    <w:multiLevelType w:val="hybridMultilevel"/>
    <w:tmpl w:val="8F38E1E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22127"/>
    <w:multiLevelType w:val="hybridMultilevel"/>
    <w:tmpl w:val="27DA37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86040F"/>
    <w:multiLevelType w:val="hybridMultilevel"/>
    <w:tmpl w:val="CAE41B58"/>
    <w:lvl w:ilvl="0" w:tplc="8C10EBB2">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16"/>
  </w:num>
  <w:num w:numId="5">
    <w:abstractNumId w:val="18"/>
  </w:num>
  <w:num w:numId="6">
    <w:abstractNumId w:val="26"/>
  </w:num>
  <w:num w:numId="7">
    <w:abstractNumId w:val="2"/>
  </w:num>
  <w:num w:numId="8">
    <w:abstractNumId w:val="3"/>
  </w:num>
  <w:num w:numId="9">
    <w:abstractNumId w:val="22"/>
  </w:num>
  <w:num w:numId="10">
    <w:abstractNumId w:val="4"/>
  </w:num>
  <w:num w:numId="11">
    <w:abstractNumId w:val="32"/>
  </w:num>
  <w:num w:numId="12">
    <w:abstractNumId w:val="11"/>
  </w:num>
  <w:num w:numId="13">
    <w:abstractNumId w:val="12"/>
  </w:num>
  <w:num w:numId="14">
    <w:abstractNumId w:val="20"/>
  </w:num>
  <w:num w:numId="15">
    <w:abstractNumId w:val="28"/>
  </w:num>
  <w:num w:numId="16">
    <w:abstractNumId w:val="10"/>
  </w:num>
  <w:num w:numId="17">
    <w:abstractNumId w:val="25"/>
  </w:num>
  <w:num w:numId="18">
    <w:abstractNumId w:val="5"/>
  </w:num>
  <w:num w:numId="19">
    <w:abstractNumId w:val="14"/>
  </w:num>
  <w:num w:numId="20">
    <w:abstractNumId w:val="15"/>
  </w:num>
  <w:num w:numId="21">
    <w:abstractNumId w:val="29"/>
  </w:num>
  <w:num w:numId="22">
    <w:abstractNumId w:val="24"/>
  </w:num>
  <w:num w:numId="23">
    <w:abstractNumId w:val="19"/>
  </w:num>
  <w:num w:numId="24">
    <w:abstractNumId w:val="30"/>
  </w:num>
  <w:num w:numId="25">
    <w:abstractNumId w:val="27"/>
  </w:num>
  <w:num w:numId="26">
    <w:abstractNumId w:val="13"/>
  </w:num>
  <w:num w:numId="27">
    <w:abstractNumId w:val="6"/>
  </w:num>
  <w:num w:numId="28">
    <w:abstractNumId w:val="17"/>
  </w:num>
  <w:num w:numId="29">
    <w:abstractNumId w:val="7"/>
  </w:num>
  <w:num w:numId="30">
    <w:abstractNumId w:val="23"/>
  </w:num>
  <w:num w:numId="31">
    <w:abstractNumId w:val="31"/>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39"/>
    <w:rsid w:val="000003BF"/>
    <w:rsid w:val="000023D0"/>
    <w:rsid w:val="0001040E"/>
    <w:rsid w:val="00011212"/>
    <w:rsid w:val="0001141D"/>
    <w:rsid w:val="000116C4"/>
    <w:rsid w:val="000127E2"/>
    <w:rsid w:val="00017A6E"/>
    <w:rsid w:val="00020E84"/>
    <w:rsid w:val="000218EF"/>
    <w:rsid w:val="00026553"/>
    <w:rsid w:val="000322FC"/>
    <w:rsid w:val="00036BAE"/>
    <w:rsid w:val="000459CD"/>
    <w:rsid w:val="00046034"/>
    <w:rsid w:val="000547DA"/>
    <w:rsid w:val="000555BD"/>
    <w:rsid w:val="000638D9"/>
    <w:rsid w:val="00063D88"/>
    <w:rsid w:val="0008196D"/>
    <w:rsid w:val="00082A28"/>
    <w:rsid w:val="00086F92"/>
    <w:rsid w:val="00092B00"/>
    <w:rsid w:val="000A1A99"/>
    <w:rsid w:val="000A3FE1"/>
    <w:rsid w:val="000A5585"/>
    <w:rsid w:val="000B25CD"/>
    <w:rsid w:val="000B5E13"/>
    <w:rsid w:val="000B784E"/>
    <w:rsid w:val="000C01C1"/>
    <w:rsid w:val="000C12AF"/>
    <w:rsid w:val="000C1480"/>
    <w:rsid w:val="000D2EA2"/>
    <w:rsid w:val="000E3D8B"/>
    <w:rsid w:val="000F05CF"/>
    <w:rsid w:val="000F2557"/>
    <w:rsid w:val="000F71A3"/>
    <w:rsid w:val="000F7B83"/>
    <w:rsid w:val="00100FF5"/>
    <w:rsid w:val="0010161C"/>
    <w:rsid w:val="00116EB8"/>
    <w:rsid w:val="00124BCF"/>
    <w:rsid w:val="001250E2"/>
    <w:rsid w:val="00130384"/>
    <w:rsid w:val="00130F88"/>
    <w:rsid w:val="0013108E"/>
    <w:rsid w:val="00134B92"/>
    <w:rsid w:val="001367EC"/>
    <w:rsid w:val="0014465F"/>
    <w:rsid w:val="00151C47"/>
    <w:rsid w:val="00157AF4"/>
    <w:rsid w:val="00161D80"/>
    <w:rsid w:val="00163AE3"/>
    <w:rsid w:val="00165992"/>
    <w:rsid w:val="0017057F"/>
    <w:rsid w:val="00171A39"/>
    <w:rsid w:val="00181C43"/>
    <w:rsid w:val="00192E32"/>
    <w:rsid w:val="0019394A"/>
    <w:rsid w:val="00194155"/>
    <w:rsid w:val="001A026F"/>
    <w:rsid w:val="001A5432"/>
    <w:rsid w:val="001B3BF6"/>
    <w:rsid w:val="001B3D04"/>
    <w:rsid w:val="001B5243"/>
    <w:rsid w:val="001B5360"/>
    <w:rsid w:val="001B6425"/>
    <w:rsid w:val="001B691B"/>
    <w:rsid w:val="001D387B"/>
    <w:rsid w:val="001D7F72"/>
    <w:rsid w:val="001E176C"/>
    <w:rsid w:val="001E3916"/>
    <w:rsid w:val="001F094C"/>
    <w:rsid w:val="001F2FD0"/>
    <w:rsid w:val="001F4363"/>
    <w:rsid w:val="00203278"/>
    <w:rsid w:val="0022668D"/>
    <w:rsid w:val="00226FA7"/>
    <w:rsid w:val="00230621"/>
    <w:rsid w:val="00231F36"/>
    <w:rsid w:val="00236B1C"/>
    <w:rsid w:val="00241783"/>
    <w:rsid w:val="002431F7"/>
    <w:rsid w:val="00247872"/>
    <w:rsid w:val="00252881"/>
    <w:rsid w:val="00254040"/>
    <w:rsid w:val="00257C57"/>
    <w:rsid w:val="00260311"/>
    <w:rsid w:val="002616BA"/>
    <w:rsid w:val="0026313B"/>
    <w:rsid w:val="00265696"/>
    <w:rsid w:val="00272874"/>
    <w:rsid w:val="00280C69"/>
    <w:rsid w:val="00287ABD"/>
    <w:rsid w:val="0029005D"/>
    <w:rsid w:val="002944D7"/>
    <w:rsid w:val="00295488"/>
    <w:rsid w:val="002957E2"/>
    <w:rsid w:val="0029598A"/>
    <w:rsid w:val="0029598C"/>
    <w:rsid w:val="00297F53"/>
    <w:rsid w:val="002A1602"/>
    <w:rsid w:val="002A512E"/>
    <w:rsid w:val="002B7D12"/>
    <w:rsid w:val="002C06B2"/>
    <w:rsid w:val="002C27DC"/>
    <w:rsid w:val="002D0114"/>
    <w:rsid w:val="002D28E2"/>
    <w:rsid w:val="002D461F"/>
    <w:rsid w:val="002E3FBE"/>
    <w:rsid w:val="002E7228"/>
    <w:rsid w:val="002F0F4F"/>
    <w:rsid w:val="002F49A9"/>
    <w:rsid w:val="00312BAC"/>
    <w:rsid w:val="00314E2A"/>
    <w:rsid w:val="00315125"/>
    <w:rsid w:val="0031608E"/>
    <w:rsid w:val="003226BB"/>
    <w:rsid w:val="00334501"/>
    <w:rsid w:val="00335014"/>
    <w:rsid w:val="00340584"/>
    <w:rsid w:val="00340B18"/>
    <w:rsid w:val="0034137E"/>
    <w:rsid w:val="00344010"/>
    <w:rsid w:val="00352092"/>
    <w:rsid w:val="00357B6B"/>
    <w:rsid w:val="00357F44"/>
    <w:rsid w:val="00363406"/>
    <w:rsid w:val="00366D19"/>
    <w:rsid w:val="00374CFC"/>
    <w:rsid w:val="00374FC2"/>
    <w:rsid w:val="00380CB0"/>
    <w:rsid w:val="003819C4"/>
    <w:rsid w:val="003859A6"/>
    <w:rsid w:val="003931E7"/>
    <w:rsid w:val="003A1CCC"/>
    <w:rsid w:val="003A2A71"/>
    <w:rsid w:val="003A57E1"/>
    <w:rsid w:val="003A67CB"/>
    <w:rsid w:val="003A69B9"/>
    <w:rsid w:val="003B12A2"/>
    <w:rsid w:val="003C2EDE"/>
    <w:rsid w:val="003C5F69"/>
    <w:rsid w:val="003D0D89"/>
    <w:rsid w:val="003E1BB3"/>
    <w:rsid w:val="003F038E"/>
    <w:rsid w:val="003F3EED"/>
    <w:rsid w:val="003F72C5"/>
    <w:rsid w:val="0040366A"/>
    <w:rsid w:val="004040DA"/>
    <w:rsid w:val="0040555C"/>
    <w:rsid w:val="00406543"/>
    <w:rsid w:val="00410698"/>
    <w:rsid w:val="00410ABB"/>
    <w:rsid w:val="00411EC6"/>
    <w:rsid w:val="00422536"/>
    <w:rsid w:val="00425FC7"/>
    <w:rsid w:val="00426732"/>
    <w:rsid w:val="004327BD"/>
    <w:rsid w:val="00433572"/>
    <w:rsid w:val="00434F9D"/>
    <w:rsid w:val="004352AB"/>
    <w:rsid w:val="00437D99"/>
    <w:rsid w:val="00450EF9"/>
    <w:rsid w:val="004545DF"/>
    <w:rsid w:val="00454D0F"/>
    <w:rsid w:val="004613AC"/>
    <w:rsid w:val="00461677"/>
    <w:rsid w:val="00465E10"/>
    <w:rsid w:val="00466140"/>
    <w:rsid w:val="004714D5"/>
    <w:rsid w:val="004731E8"/>
    <w:rsid w:val="00480760"/>
    <w:rsid w:val="00481650"/>
    <w:rsid w:val="00486D6F"/>
    <w:rsid w:val="004B3019"/>
    <w:rsid w:val="004B3A43"/>
    <w:rsid w:val="004C657F"/>
    <w:rsid w:val="004D0332"/>
    <w:rsid w:val="004D2E19"/>
    <w:rsid w:val="004E1840"/>
    <w:rsid w:val="004E23F9"/>
    <w:rsid w:val="004E7C0C"/>
    <w:rsid w:val="004F679D"/>
    <w:rsid w:val="004F6AA3"/>
    <w:rsid w:val="0050125A"/>
    <w:rsid w:val="00501A8C"/>
    <w:rsid w:val="00501B5A"/>
    <w:rsid w:val="00502CF9"/>
    <w:rsid w:val="00505147"/>
    <w:rsid w:val="005154F4"/>
    <w:rsid w:val="00515A1A"/>
    <w:rsid w:val="005176C0"/>
    <w:rsid w:val="00522959"/>
    <w:rsid w:val="005242D3"/>
    <w:rsid w:val="00524E5A"/>
    <w:rsid w:val="005254BC"/>
    <w:rsid w:val="005263C5"/>
    <w:rsid w:val="00550EB3"/>
    <w:rsid w:val="00554D32"/>
    <w:rsid w:val="00561335"/>
    <w:rsid w:val="00562716"/>
    <w:rsid w:val="00565421"/>
    <w:rsid w:val="005658F5"/>
    <w:rsid w:val="00570810"/>
    <w:rsid w:val="00574B6A"/>
    <w:rsid w:val="00574D92"/>
    <w:rsid w:val="005755AE"/>
    <w:rsid w:val="00581D7A"/>
    <w:rsid w:val="005832B3"/>
    <w:rsid w:val="00583BC6"/>
    <w:rsid w:val="00587E2D"/>
    <w:rsid w:val="0059353E"/>
    <w:rsid w:val="0059529F"/>
    <w:rsid w:val="005977C7"/>
    <w:rsid w:val="005A16C2"/>
    <w:rsid w:val="005A396E"/>
    <w:rsid w:val="005A5211"/>
    <w:rsid w:val="005B63BD"/>
    <w:rsid w:val="005B73BC"/>
    <w:rsid w:val="005B7BDB"/>
    <w:rsid w:val="005C1F2E"/>
    <w:rsid w:val="005C2B0F"/>
    <w:rsid w:val="005C3167"/>
    <w:rsid w:val="005C7928"/>
    <w:rsid w:val="005C7C4B"/>
    <w:rsid w:val="005D1E89"/>
    <w:rsid w:val="005D1F87"/>
    <w:rsid w:val="005D5B1A"/>
    <w:rsid w:val="005F13D9"/>
    <w:rsid w:val="005F4F9A"/>
    <w:rsid w:val="005F661D"/>
    <w:rsid w:val="005F6AEB"/>
    <w:rsid w:val="0060227E"/>
    <w:rsid w:val="0060307B"/>
    <w:rsid w:val="0060369F"/>
    <w:rsid w:val="00603D2B"/>
    <w:rsid w:val="00610733"/>
    <w:rsid w:val="006112DF"/>
    <w:rsid w:val="00612AB5"/>
    <w:rsid w:val="0061383C"/>
    <w:rsid w:val="00625961"/>
    <w:rsid w:val="00625A2F"/>
    <w:rsid w:val="00633BF7"/>
    <w:rsid w:val="006377D7"/>
    <w:rsid w:val="00642046"/>
    <w:rsid w:val="0064231C"/>
    <w:rsid w:val="0064496D"/>
    <w:rsid w:val="006460A1"/>
    <w:rsid w:val="006460D9"/>
    <w:rsid w:val="00646F81"/>
    <w:rsid w:val="00647968"/>
    <w:rsid w:val="006525B9"/>
    <w:rsid w:val="00655CE9"/>
    <w:rsid w:val="00656591"/>
    <w:rsid w:val="00661083"/>
    <w:rsid w:val="00661D32"/>
    <w:rsid w:val="00666FE9"/>
    <w:rsid w:val="00675195"/>
    <w:rsid w:val="00676782"/>
    <w:rsid w:val="00677429"/>
    <w:rsid w:val="00681D48"/>
    <w:rsid w:val="00682D39"/>
    <w:rsid w:val="00690F02"/>
    <w:rsid w:val="00693D37"/>
    <w:rsid w:val="00696561"/>
    <w:rsid w:val="006A09CC"/>
    <w:rsid w:val="006A0E9D"/>
    <w:rsid w:val="006A5986"/>
    <w:rsid w:val="006B3DA9"/>
    <w:rsid w:val="006C48BC"/>
    <w:rsid w:val="006D0953"/>
    <w:rsid w:val="006D0B2A"/>
    <w:rsid w:val="006D6173"/>
    <w:rsid w:val="006D6ABD"/>
    <w:rsid w:val="006F114A"/>
    <w:rsid w:val="00702F60"/>
    <w:rsid w:val="00705C2F"/>
    <w:rsid w:val="00706031"/>
    <w:rsid w:val="00717FEE"/>
    <w:rsid w:val="00720615"/>
    <w:rsid w:val="00723856"/>
    <w:rsid w:val="00726653"/>
    <w:rsid w:val="00735468"/>
    <w:rsid w:val="00737936"/>
    <w:rsid w:val="00742780"/>
    <w:rsid w:val="00743484"/>
    <w:rsid w:val="00745EB3"/>
    <w:rsid w:val="00750A0F"/>
    <w:rsid w:val="007513BE"/>
    <w:rsid w:val="00752798"/>
    <w:rsid w:val="0076497F"/>
    <w:rsid w:val="00765DF8"/>
    <w:rsid w:val="007673B5"/>
    <w:rsid w:val="00772A20"/>
    <w:rsid w:val="00775C4D"/>
    <w:rsid w:val="00782274"/>
    <w:rsid w:val="00782449"/>
    <w:rsid w:val="007828EB"/>
    <w:rsid w:val="0078409C"/>
    <w:rsid w:val="00784398"/>
    <w:rsid w:val="00790D85"/>
    <w:rsid w:val="00791EAC"/>
    <w:rsid w:val="00794149"/>
    <w:rsid w:val="0079679D"/>
    <w:rsid w:val="00797A1C"/>
    <w:rsid w:val="007A0B43"/>
    <w:rsid w:val="007A547C"/>
    <w:rsid w:val="007B1529"/>
    <w:rsid w:val="007B21A2"/>
    <w:rsid w:val="007B5822"/>
    <w:rsid w:val="007C0C55"/>
    <w:rsid w:val="007C10BD"/>
    <w:rsid w:val="007C15A1"/>
    <w:rsid w:val="007C1A6D"/>
    <w:rsid w:val="007C23EA"/>
    <w:rsid w:val="007C4EF9"/>
    <w:rsid w:val="007D33E4"/>
    <w:rsid w:val="007D50B5"/>
    <w:rsid w:val="007E1095"/>
    <w:rsid w:val="007E1AB7"/>
    <w:rsid w:val="007E5846"/>
    <w:rsid w:val="00800710"/>
    <w:rsid w:val="00803353"/>
    <w:rsid w:val="00804FFD"/>
    <w:rsid w:val="00811D7C"/>
    <w:rsid w:val="0081350C"/>
    <w:rsid w:val="008135EF"/>
    <w:rsid w:val="00813A63"/>
    <w:rsid w:val="0081574F"/>
    <w:rsid w:val="00824A4F"/>
    <w:rsid w:val="00824F57"/>
    <w:rsid w:val="00834005"/>
    <w:rsid w:val="00836C28"/>
    <w:rsid w:val="0084414E"/>
    <w:rsid w:val="008453D4"/>
    <w:rsid w:val="0085360D"/>
    <w:rsid w:val="00857B29"/>
    <w:rsid w:val="00866092"/>
    <w:rsid w:val="00866D7D"/>
    <w:rsid w:val="00871B70"/>
    <w:rsid w:val="00872C2F"/>
    <w:rsid w:val="0088413E"/>
    <w:rsid w:val="0088440E"/>
    <w:rsid w:val="008845D9"/>
    <w:rsid w:val="008861DD"/>
    <w:rsid w:val="008935BA"/>
    <w:rsid w:val="00896BAD"/>
    <w:rsid w:val="008A30C6"/>
    <w:rsid w:val="008A447D"/>
    <w:rsid w:val="008A4A11"/>
    <w:rsid w:val="008B1F2A"/>
    <w:rsid w:val="008B516A"/>
    <w:rsid w:val="008C0E95"/>
    <w:rsid w:val="008C16BB"/>
    <w:rsid w:val="008C2FAD"/>
    <w:rsid w:val="008C3059"/>
    <w:rsid w:val="008D2BA0"/>
    <w:rsid w:val="008E127A"/>
    <w:rsid w:val="008E1CC2"/>
    <w:rsid w:val="008E59C5"/>
    <w:rsid w:val="008F2591"/>
    <w:rsid w:val="008F38FE"/>
    <w:rsid w:val="008F5151"/>
    <w:rsid w:val="009012BD"/>
    <w:rsid w:val="009020A5"/>
    <w:rsid w:val="0090372A"/>
    <w:rsid w:val="00911330"/>
    <w:rsid w:val="009152B7"/>
    <w:rsid w:val="00915D34"/>
    <w:rsid w:val="009237AB"/>
    <w:rsid w:val="009313D2"/>
    <w:rsid w:val="009323E0"/>
    <w:rsid w:val="0094022C"/>
    <w:rsid w:val="00942092"/>
    <w:rsid w:val="00943352"/>
    <w:rsid w:val="00953F32"/>
    <w:rsid w:val="00965A10"/>
    <w:rsid w:val="009660D1"/>
    <w:rsid w:val="00967551"/>
    <w:rsid w:val="0096774A"/>
    <w:rsid w:val="00977088"/>
    <w:rsid w:val="00983941"/>
    <w:rsid w:val="00991BFB"/>
    <w:rsid w:val="00992DB5"/>
    <w:rsid w:val="009A5457"/>
    <w:rsid w:val="009A79BA"/>
    <w:rsid w:val="009B0CA3"/>
    <w:rsid w:val="009C2ED1"/>
    <w:rsid w:val="009C50A8"/>
    <w:rsid w:val="009D4CC8"/>
    <w:rsid w:val="009D5F9E"/>
    <w:rsid w:val="009E2933"/>
    <w:rsid w:val="009E46D1"/>
    <w:rsid w:val="009F1F95"/>
    <w:rsid w:val="009F549C"/>
    <w:rsid w:val="00A000F7"/>
    <w:rsid w:val="00A0036A"/>
    <w:rsid w:val="00A012F2"/>
    <w:rsid w:val="00A01DD0"/>
    <w:rsid w:val="00A0265E"/>
    <w:rsid w:val="00A05DEF"/>
    <w:rsid w:val="00A12C7A"/>
    <w:rsid w:val="00A148DA"/>
    <w:rsid w:val="00A14D7B"/>
    <w:rsid w:val="00A1547E"/>
    <w:rsid w:val="00A20F57"/>
    <w:rsid w:val="00A21FBF"/>
    <w:rsid w:val="00A229DB"/>
    <w:rsid w:val="00A22B53"/>
    <w:rsid w:val="00A32B4D"/>
    <w:rsid w:val="00A355A5"/>
    <w:rsid w:val="00A35ACA"/>
    <w:rsid w:val="00A37674"/>
    <w:rsid w:val="00A40444"/>
    <w:rsid w:val="00A43BE8"/>
    <w:rsid w:val="00A43C6D"/>
    <w:rsid w:val="00A50C7F"/>
    <w:rsid w:val="00A54BDF"/>
    <w:rsid w:val="00A6103C"/>
    <w:rsid w:val="00A65D66"/>
    <w:rsid w:val="00A743C5"/>
    <w:rsid w:val="00A76612"/>
    <w:rsid w:val="00A773D3"/>
    <w:rsid w:val="00A80C5B"/>
    <w:rsid w:val="00A8673D"/>
    <w:rsid w:val="00A911E7"/>
    <w:rsid w:val="00A96BA6"/>
    <w:rsid w:val="00AA0991"/>
    <w:rsid w:val="00AA3666"/>
    <w:rsid w:val="00AB5518"/>
    <w:rsid w:val="00AB595E"/>
    <w:rsid w:val="00AB6CFB"/>
    <w:rsid w:val="00AB784B"/>
    <w:rsid w:val="00AC2372"/>
    <w:rsid w:val="00AC4DC2"/>
    <w:rsid w:val="00AD0CAD"/>
    <w:rsid w:val="00AD279E"/>
    <w:rsid w:val="00AD593B"/>
    <w:rsid w:val="00AE4B72"/>
    <w:rsid w:val="00AF2BA8"/>
    <w:rsid w:val="00AF3153"/>
    <w:rsid w:val="00AF7205"/>
    <w:rsid w:val="00B1014D"/>
    <w:rsid w:val="00B111EC"/>
    <w:rsid w:val="00B11BFC"/>
    <w:rsid w:val="00B14124"/>
    <w:rsid w:val="00B328AB"/>
    <w:rsid w:val="00B35C84"/>
    <w:rsid w:val="00B36CEC"/>
    <w:rsid w:val="00B374C6"/>
    <w:rsid w:val="00B37BF2"/>
    <w:rsid w:val="00B4224D"/>
    <w:rsid w:val="00B5059E"/>
    <w:rsid w:val="00B51F50"/>
    <w:rsid w:val="00B57D94"/>
    <w:rsid w:val="00B644B2"/>
    <w:rsid w:val="00B740E9"/>
    <w:rsid w:val="00B82F74"/>
    <w:rsid w:val="00B839D6"/>
    <w:rsid w:val="00B84190"/>
    <w:rsid w:val="00B8702C"/>
    <w:rsid w:val="00BA0B4A"/>
    <w:rsid w:val="00BA3F8D"/>
    <w:rsid w:val="00BA4EF4"/>
    <w:rsid w:val="00BB1511"/>
    <w:rsid w:val="00BB5C4B"/>
    <w:rsid w:val="00BC25C6"/>
    <w:rsid w:val="00BC3E8A"/>
    <w:rsid w:val="00BC40C1"/>
    <w:rsid w:val="00BC782B"/>
    <w:rsid w:val="00BD1210"/>
    <w:rsid w:val="00BD405E"/>
    <w:rsid w:val="00BE6536"/>
    <w:rsid w:val="00BE7AEE"/>
    <w:rsid w:val="00BF6677"/>
    <w:rsid w:val="00C10A6D"/>
    <w:rsid w:val="00C10BE4"/>
    <w:rsid w:val="00C10C43"/>
    <w:rsid w:val="00C13403"/>
    <w:rsid w:val="00C13BD0"/>
    <w:rsid w:val="00C17D34"/>
    <w:rsid w:val="00C17DA0"/>
    <w:rsid w:val="00C205CD"/>
    <w:rsid w:val="00C25071"/>
    <w:rsid w:val="00C34EC9"/>
    <w:rsid w:val="00C440B7"/>
    <w:rsid w:val="00C50F5C"/>
    <w:rsid w:val="00C52A7D"/>
    <w:rsid w:val="00C5322F"/>
    <w:rsid w:val="00C621C8"/>
    <w:rsid w:val="00C65705"/>
    <w:rsid w:val="00C66D91"/>
    <w:rsid w:val="00C76A2E"/>
    <w:rsid w:val="00C777C0"/>
    <w:rsid w:val="00C809F3"/>
    <w:rsid w:val="00C83D60"/>
    <w:rsid w:val="00C90E36"/>
    <w:rsid w:val="00C97FDB"/>
    <w:rsid w:val="00CB23A7"/>
    <w:rsid w:val="00CB7DB2"/>
    <w:rsid w:val="00CC14DE"/>
    <w:rsid w:val="00CC5905"/>
    <w:rsid w:val="00CC7006"/>
    <w:rsid w:val="00CD021F"/>
    <w:rsid w:val="00CD641B"/>
    <w:rsid w:val="00CE18E2"/>
    <w:rsid w:val="00CE3C3A"/>
    <w:rsid w:val="00CE6F13"/>
    <w:rsid w:val="00CF6A86"/>
    <w:rsid w:val="00D03A50"/>
    <w:rsid w:val="00D11582"/>
    <w:rsid w:val="00D11D65"/>
    <w:rsid w:val="00D120AA"/>
    <w:rsid w:val="00D16C5F"/>
    <w:rsid w:val="00D215F4"/>
    <w:rsid w:val="00D221FC"/>
    <w:rsid w:val="00D239FB"/>
    <w:rsid w:val="00D37C77"/>
    <w:rsid w:val="00D40053"/>
    <w:rsid w:val="00D42A25"/>
    <w:rsid w:val="00D43D89"/>
    <w:rsid w:val="00D44CC3"/>
    <w:rsid w:val="00D47795"/>
    <w:rsid w:val="00D52E0D"/>
    <w:rsid w:val="00D631F1"/>
    <w:rsid w:val="00D65C05"/>
    <w:rsid w:val="00D734D8"/>
    <w:rsid w:val="00D76F5D"/>
    <w:rsid w:val="00D80D15"/>
    <w:rsid w:val="00D83BB5"/>
    <w:rsid w:val="00D84DFF"/>
    <w:rsid w:val="00D9140A"/>
    <w:rsid w:val="00D96720"/>
    <w:rsid w:val="00DA2406"/>
    <w:rsid w:val="00DA2480"/>
    <w:rsid w:val="00DB227D"/>
    <w:rsid w:val="00DB46C1"/>
    <w:rsid w:val="00DC2D5C"/>
    <w:rsid w:val="00DC4036"/>
    <w:rsid w:val="00DC6661"/>
    <w:rsid w:val="00DD21B4"/>
    <w:rsid w:val="00DD2E21"/>
    <w:rsid w:val="00DD62F8"/>
    <w:rsid w:val="00DD699F"/>
    <w:rsid w:val="00DE4D89"/>
    <w:rsid w:val="00DF00B2"/>
    <w:rsid w:val="00DF55DD"/>
    <w:rsid w:val="00DF60CC"/>
    <w:rsid w:val="00E02546"/>
    <w:rsid w:val="00E04979"/>
    <w:rsid w:val="00E05BE4"/>
    <w:rsid w:val="00E0677C"/>
    <w:rsid w:val="00E12532"/>
    <w:rsid w:val="00E12C74"/>
    <w:rsid w:val="00E15872"/>
    <w:rsid w:val="00E2181B"/>
    <w:rsid w:val="00E25618"/>
    <w:rsid w:val="00E2613D"/>
    <w:rsid w:val="00E26C2D"/>
    <w:rsid w:val="00E33B23"/>
    <w:rsid w:val="00E42990"/>
    <w:rsid w:val="00E461D4"/>
    <w:rsid w:val="00E47516"/>
    <w:rsid w:val="00E543E2"/>
    <w:rsid w:val="00E54BFB"/>
    <w:rsid w:val="00E578F9"/>
    <w:rsid w:val="00E616A2"/>
    <w:rsid w:val="00E62B4E"/>
    <w:rsid w:val="00E669AD"/>
    <w:rsid w:val="00E71A12"/>
    <w:rsid w:val="00E81B38"/>
    <w:rsid w:val="00E8287A"/>
    <w:rsid w:val="00E84FA2"/>
    <w:rsid w:val="00E87B49"/>
    <w:rsid w:val="00E92E4B"/>
    <w:rsid w:val="00E9752F"/>
    <w:rsid w:val="00EA21D1"/>
    <w:rsid w:val="00EA32FB"/>
    <w:rsid w:val="00EA39C2"/>
    <w:rsid w:val="00EB0E99"/>
    <w:rsid w:val="00EC0BFD"/>
    <w:rsid w:val="00EC1F5F"/>
    <w:rsid w:val="00ED27C3"/>
    <w:rsid w:val="00ED3E85"/>
    <w:rsid w:val="00ED5CA9"/>
    <w:rsid w:val="00EE4735"/>
    <w:rsid w:val="00EF29C5"/>
    <w:rsid w:val="00EF40B5"/>
    <w:rsid w:val="00EF7A65"/>
    <w:rsid w:val="00F049BC"/>
    <w:rsid w:val="00F144AF"/>
    <w:rsid w:val="00F17005"/>
    <w:rsid w:val="00F20AC7"/>
    <w:rsid w:val="00F20CA6"/>
    <w:rsid w:val="00F25770"/>
    <w:rsid w:val="00F30283"/>
    <w:rsid w:val="00F33055"/>
    <w:rsid w:val="00F37875"/>
    <w:rsid w:val="00F40D4C"/>
    <w:rsid w:val="00F4663E"/>
    <w:rsid w:val="00F539F2"/>
    <w:rsid w:val="00F57FE2"/>
    <w:rsid w:val="00F6163D"/>
    <w:rsid w:val="00F61A57"/>
    <w:rsid w:val="00F6256A"/>
    <w:rsid w:val="00F74624"/>
    <w:rsid w:val="00F81114"/>
    <w:rsid w:val="00F81AFF"/>
    <w:rsid w:val="00F846E0"/>
    <w:rsid w:val="00F8766F"/>
    <w:rsid w:val="00F932F3"/>
    <w:rsid w:val="00F95A86"/>
    <w:rsid w:val="00F96AB0"/>
    <w:rsid w:val="00F979D3"/>
    <w:rsid w:val="00FB1232"/>
    <w:rsid w:val="00FB38EA"/>
    <w:rsid w:val="00FB6F1C"/>
    <w:rsid w:val="00FB729A"/>
    <w:rsid w:val="00FC5908"/>
    <w:rsid w:val="00FC7668"/>
    <w:rsid w:val="00FD112E"/>
    <w:rsid w:val="00FE0A5C"/>
    <w:rsid w:val="00FE7D6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BEA1"/>
  <w15:docId w15:val="{823DADAE-FBFE-424C-B31F-C455A8F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34F9D"/>
    <w:pPr>
      <w:spacing w:before="100" w:beforeAutospacing="1" w:after="100" w:afterAutospacing="1"/>
      <w:outlineLvl w:val="1"/>
    </w:pPr>
    <w:rPr>
      <w:b/>
      <w:bCs/>
      <w:sz w:val="36"/>
      <w:szCs w:val="36"/>
      <w:lang w:val="ro-RO" w:eastAsia="ro-RO"/>
    </w:rPr>
  </w:style>
  <w:style w:type="paragraph" w:styleId="Heading3">
    <w:name w:val="heading 3"/>
    <w:basedOn w:val="Normal"/>
    <w:next w:val="Normal"/>
    <w:link w:val="Heading3Char"/>
    <w:uiPriority w:val="9"/>
    <w:unhideWhenUsed/>
    <w:qFormat/>
    <w:rsid w:val="00661083"/>
    <w:pPr>
      <w:keepNext/>
      <w:keepLines/>
      <w:spacing w:before="40"/>
      <w:jc w:val="both"/>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D39"/>
    <w:pPr>
      <w:tabs>
        <w:tab w:val="center" w:pos="4536"/>
        <w:tab w:val="right" w:pos="9072"/>
      </w:tabs>
    </w:pPr>
  </w:style>
  <w:style w:type="character" w:customStyle="1" w:styleId="FooterChar">
    <w:name w:val="Footer Char"/>
    <w:basedOn w:val="DefaultParagraphFont"/>
    <w:link w:val="Footer"/>
    <w:rsid w:val="00682D39"/>
    <w:rPr>
      <w:rFonts w:ascii="Times New Roman" w:eastAsia="Times New Roman" w:hAnsi="Times New Roman" w:cs="Times New Roman"/>
      <w:sz w:val="24"/>
      <w:szCs w:val="24"/>
    </w:rPr>
  </w:style>
  <w:style w:type="character" w:styleId="PageNumber">
    <w:name w:val="page number"/>
    <w:basedOn w:val="DefaultParagraphFont"/>
    <w:rsid w:val="00682D39"/>
  </w:style>
  <w:style w:type="paragraph" w:styleId="ListParagraph">
    <w:name w:val="List Paragraph"/>
    <w:aliases w:val="Normal bullet 2,List Paragraph1"/>
    <w:basedOn w:val="Normal"/>
    <w:uiPriority w:val="34"/>
    <w:qFormat/>
    <w:rsid w:val="00682D39"/>
    <w:pPr>
      <w:spacing w:after="100" w:afterAutospacing="1"/>
      <w:ind w:left="720"/>
      <w:contextualSpacing/>
    </w:pPr>
    <w:rPr>
      <w:rFonts w:ascii="Calibri" w:hAnsi="Calibri"/>
      <w:sz w:val="22"/>
      <w:szCs w:val="22"/>
    </w:rPr>
  </w:style>
  <w:style w:type="paragraph" w:customStyle="1" w:styleId="Default">
    <w:name w:val="Default"/>
    <w:basedOn w:val="Normal"/>
    <w:rsid w:val="009A79BA"/>
    <w:pPr>
      <w:autoSpaceDE w:val="0"/>
      <w:autoSpaceDN w:val="0"/>
    </w:pPr>
    <w:rPr>
      <w:rFonts w:eastAsiaTheme="minorHAnsi"/>
      <w:color w:val="000000"/>
    </w:rPr>
  </w:style>
  <w:style w:type="paragraph" w:customStyle="1" w:styleId="rvps1">
    <w:name w:val="rvps1"/>
    <w:basedOn w:val="Normal"/>
    <w:rsid w:val="007C0C55"/>
    <w:pPr>
      <w:spacing w:before="100" w:beforeAutospacing="1" w:after="100" w:afterAutospacing="1"/>
    </w:pPr>
    <w:rPr>
      <w:lang w:val="ro-RO" w:eastAsia="ro-RO"/>
    </w:rPr>
  </w:style>
  <w:style w:type="character" w:customStyle="1" w:styleId="rvts10">
    <w:name w:val="rvts10"/>
    <w:basedOn w:val="DefaultParagraphFont"/>
    <w:rsid w:val="007C0C55"/>
  </w:style>
  <w:style w:type="character" w:styleId="Strong">
    <w:name w:val="Strong"/>
    <w:basedOn w:val="DefaultParagraphFont"/>
    <w:uiPriority w:val="22"/>
    <w:qFormat/>
    <w:rsid w:val="00DD62F8"/>
    <w:rPr>
      <w:b/>
      <w:bCs/>
    </w:rPr>
  </w:style>
  <w:style w:type="paragraph" w:styleId="FootnoteText">
    <w:name w:val="footnote text"/>
    <w:basedOn w:val="Normal"/>
    <w:link w:val="FootnoteTextChar"/>
    <w:uiPriority w:val="99"/>
    <w:unhideWhenUsed/>
    <w:rsid w:val="00953F32"/>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rsid w:val="00953F32"/>
    <w:rPr>
      <w:sz w:val="20"/>
      <w:szCs w:val="20"/>
      <w:lang w:val="ro-RO"/>
    </w:rPr>
  </w:style>
  <w:style w:type="character" w:styleId="FootnoteReference">
    <w:name w:val="footnote reference"/>
    <w:aliases w:val="Footnote symbol,Footnote Reference Number,Footnote Reference Superscript,Footnote,Voetnootverwijzing,Times 10 Point,Exposant 3 Point,fr,Ref,de nota al pie,Char Char6 Char Char Char Char Char Char Char Char Char Char Char Char,註腳,FR"/>
    <w:basedOn w:val="DefaultParagraphFont"/>
    <w:link w:val="Footnotesrefss"/>
    <w:uiPriority w:val="99"/>
    <w:unhideWhenUsed/>
    <w:rsid w:val="00953F32"/>
    <w:rPr>
      <w:vertAlign w:val="superscript"/>
    </w:rPr>
  </w:style>
  <w:style w:type="paragraph" w:styleId="BalloonText">
    <w:name w:val="Balloon Text"/>
    <w:basedOn w:val="Normal"/>
    <w:link w:val="BalloonTextChar"/>
    <w:uiPriority w:val="99"/>
    <w:semiHidden/>
    <w:unhideWhenUsed/>
    <w:rsid w:val="005D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89"/>
    <w:rPr>
      <w:rFonts w:ascii="Segoe UI" w:eastAsia="Times New Roman" w:hAnsi="Segoe UI" w:cs="Segoe UI"/>
      <w:sz w:val="18"/>
      <w:szCs w:val="18"/>
    </w:rPr>
  </w:style>
  <w:style w:type="paragraph" w:customStyle="1" w:styleId="Style3">
    <w:name w:val="Style3"/>
    <w:basedOn w:val="Normal"/>
    <w:rsid w:val="00410698"/>
    <w:pPr>
      <w:widowControl w:val="0"/>
      <w:autoSpaceDE w:val="0"/>
      <w:autoSpaceDN w:val="0"/>
      <w:adjustRightInd w:val="0"/>
      <w:spacing w:line="310" w:lineRule="exact"/>
      <w:jc w:val="both"/>
    </w:pPr>
    <w:rPr>
      <w:lang w:val="ro-RO" w:eastAsia="ro-RO"/>
    </w:rPr>
  </w:style>
  <w:style w:type="paragraph" w:customStyle="1" w:styleId="xmsonormal">
    <w:name w:val="x_msonormal"/>
    <w:basedOn w:val="Normal"/>
    <w:rsid w:val="0041069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434F9D"/>
    <w:rPr>
      <w:rFonts w:ascii="Times New Roman" w:eastAsia="Times New Roman" w:hAnsi="Times New Roman" w:cs="Times New Roman"/>
      <w:b/>
      <w:bCs/>
      <w:sz w:val="36"/>
      <w:szCs w:val="36"/>
      <w:lang w:val="ro-RO" w:eastAsia="ro-RO"/>
    </w:rPr>
  </w:style>
  <w:style w:type="character" w:styleId="Emphasis">
    <w:name w:val="Emphasis"/>
    <w:basedOn w:val="DefaultParagraphFont"/>
    <w:uiPriority w:val="20"/>
    <w:qFormat/>
    <w:rsid w:val="00F17005"/>
    <w:rPr>
      <w:i/>
      <w:iCs/>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A8673D"/>
    <w:pPr>
      <w:spacing w:after="160" w:line="240" w:lineRule="exact"/>
    </w:pPr>
    <w:rPr>
      <w:rFonts w:asciiTheme="minorHAnsi" w:eastAsiaTheme="minorHAnsi" w:hAnsiTheme="minorHAnsi" w:cstheme="minorBidi"/>
      <w:sz w:val="22"/>
      <w:szCs w:val="22"/>
      <w:vertAlign w:val="superscript"/>
    </w:rPr>
  </w:style>
  <w:style w:type="character" w:customStyle="1" w:styleId="spar">
    <w:name w:val="s_par"/>
    <w:basedOn w:val="DefaultParagraphFont"/>
    <w:rsid w:val="00357B6B"/>
  </w:style>
  <w:style w:type="character" w:styleId="Hyperlink">
    <w:name w:val="Hyperlink"/>
    <w:basedOn w:val="DefaultParagraphFont"/>
    <w:uiPriority w:val="99"/>
    <w:semiHidden/>
    <w:unhideWhenUsed/>
    <w:rsid w:val="00C76A2E"/>
    <w:rPr>
      <w:color w:val="0000FF"/>
      <w:u w:val="single"/>
    </w:rPr>
  </w:style>
  <w:style w:type="character" w:customStyle="1" w:styleId="Heading3Char">
    <w:name w:val="Heading 3 Char"/>
    <w:basedOn w:val="DefaultParagraphFont"/>
    <w:link w:val="Heading3"/>
    <w:uiPriority w:val="9"/>
    <w:rsid w:val="0066108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61083"/>
    <w:pPr>
      <w:spacing w:before="100" w:beforeAutospacing="1" w:after="100" w:afterAutospacing="1"/>
    </w:pPr>
  </w:style>
  <w:style w:type="table" w:styleId="TableGrid">
    <w:name w:val="Table Grid"/>
    <w:basedOn w:val="TableNormal"/>
    <w:uiPriority w:val="39"/>
    <w:rsid w:val="00AD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6189">
      <w:bodyDiv w:val="1"/>
      <w:marLeft w:val="0"/>
      <w:marRight w:val="0"/>
      <w:marTop w:val="0"/>
      <w:marBottom w:val="0"/>
      <w:divBdr>
        <w:top w:val="none" w:sz="0" w:space="0" w:color="auto"/>
        <w:left w:val="none" w:sz="0" w:space="0" w:color="auto"/>
        <w:bottom w:val="none" w:sz="0" w:space="0" w:color="auto"/>
        <w:right w:val="none" w:sz="0" w:space="0" w:color="auto"/>
      </w:divBdr>
    </w:div>
    <w:div w:id="512643798">
      <w:bodyDiv w:val="1"/>
      <w:marLeft w:val="0"/>
      <w:marRight w:val="0"/>
      <w:marTop w:val="0"/>
      <w:marBottom w:val="0"/>
      <w:divBdr>
        <w:top w:val="none" w:sz="0" w:space="0" w:color="auto"/>
        <w:left w:val="none" w:sz="0" w:space="0" w:color="auto"/>
        <w:bottom w:val="none" w:sz="0" w:space="0" w:color="auto"/>
        <w:right w:val="none" w:sz="0" w:space="0" w:color="auto"/>
      </w:divBdr>
    </w:div>
    <w:div w:id="731775783">
      <w:bodyDiv w:val="1"/>
      <w:marLeft w:val="0"/>
      <w:marRight w:val="0"/>
      <w:marTop w:val="0"/>
      <w:marBottom w:val="0"/>
      <w:divBdr>
        <w:top w:val="none" w:sz="0" w:space="0" w:color="auto"/>
        <w:left w:val="none" w:sz="0" w:space="0" w:color="auto"/>
        <w:bottom w:val="none" w:sz="0" w:space="0" w:color="auto"/>
        <w:right w:val="none" w:sz="0" w:space="0" w:color="auto"/>
      </w:divBdr>
    </w:div>
    <w:div w:id="982538840">
      <w:bodyDiv w:val="1"/>
      <w:marLeft w:val="0"/>
      <w:marRight w:val="0"/>
      <w:marTop w:val="0"/>
      <w:marBottom w:val="0"/>
      <w:divBdr>
        <w:top w:val="none" w:sz="0" w:space="0" w:color="auto"/>
        <w:left w:val="none" w:sz="0" w:space="0" w:color="auto"/>
        <w:bottom w:val="none" w:sz="0" w:space="0" w:color="auto"/>
        <w:right w:val="none" w:sz="0" w:space="0" w:color="auto"/>
      </w:divBdr>
    </w:div>
    <w:div w:id="13648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1AF52-EF5C-45DF-B170-B06EAB07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3947</Words>
  <Characters>22500</Characters>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2017-10-25T08:48:00Z</cp:lastPrinted>
  <dcterms:created xsi:type="dcterms:W3CDTF">2021-03-26T09:21:00Z</dcterms:created>
  <dcterms:modified xsi:type="dcterms:W3CDTF">2021-03-26T09:21:00Z</dcterms:modified>
</cp:coreProperties>
</file>